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Calibri" w:hAnsi="Calibri"/>
          <w:b/>
          <w:color w:val="2E74B5"/>
          <w:sz w:val="22"/>
        </w:rPr>
        <w:t>UNDP SUSTAINABLE ENERGY HUB</w:t>
      </w:r>
    </w:p>
    <w:p>
      <w:pPr>
        <w:spacing w:before="520" w:after="200"/>
        <w:jc w:val="center"/>
      </w:pPr>
      <w:r>
        <w:rPr>
          <w:rFonts w:ascii="Calibri" w:hAnsi="Calibri"/>
          <w:b/>
          <w:color w:val="0B2545"/>
          <w:sz w:val="60"/>
        </w:rPr>
        <w:t>Energy-Development</w:t>
        <w:br/>
        <w:t>Integrated Modeling</w:t>
      </w:r>
    </w:p>
    <w:p>
      <w:pPr>
        <w:spacing w:after="560"/>
        <w:jc w:val="center"/>
      </w:pPr>
      <w:r>
        <w:rPr>
          <w:rFonts w:ascii="Calibri" w:hAnsi="Calibri"/>
          <w:color w:val="2E74B5"/>
          <w:sz w:val="32"/>
        </w:rPr>
        <w:t>Modeling Methodology and Readiness Assessment</w:t>
      </w:r>
    </w:p>
    <w:p>
      <w:pPr>
        <w:spacing w:after="1600"/>
        <w:jc w:val="center"/>
      </w:pPr>
      <w:r>
        <w:rPr>
          <w:rFonts w:ascii="Calibri" w:hAnsi="Calibri"/>
          <w:i/>
          <w:color w:val="5B6573"/>
          <w:sz w:val="23"/>
        </w:rPr>
        <w:t>A shared guide for policy, programme, and technical teams</w:t>
      </w:r>
    </w:p>
    <w:p>
      <w:pPr>
        <w:spacing w:after="100"/>
        <w:jc w:val="center"/>
      </w:pPr>
      <w:r>
        <w:rPr>
          <w:rFonts w:ascii="Calibri" w:hAnsi="Calibri"/>
          <w:b/>
          <w:color w:val="0B2545"/>
          <w:sz w:val="22"/>
        </w:rPr>
        <w:t>Modeling-team handoff</w:t>
      </w:r>
    </w:p>
    <w:p>
      <w:pPr>
        <w:jc w:val="center"/>
      </w:pPr>
      <w:r>
        <w:rPr>
          <w:rFonts w:ascii="Calibri" w:hAnsi="Calibri"/>
          <w:color w:val="5B6573"/>
          <w:sz w:val="20"/>
        </w:rPr>
        <w:t>Implementation baseline: EDIM runtime 0.1.0  |  19 July 2026</w:t>
      </w:r>
    </w:p>
    <w:p>
      <w:r>
        <w:br w:type="page"/>
      </w:r>
    </w:p>
    <w:p>
      <w:pPr>
        <w:pStyle w:val="Heading1"/>
        <w:keepNext/>
      </w:pPr>
      <w:r>
        <w:t>Document purpose and reading guide</w:t>
      </w:r>
    </w:p>
    <w:p>
      <w:pPr/>
      <w:r>
        <w:rPr>
          <w:rFonts w:ascii="Calibri" w:hAnsi="Calibri"/>
          <w:i w:val="0"/>
          <w:color w:val="222222"/>
          <w:sz w:val="22"/>
        </w:rPr>
        <w:t>This report explains the current Energy-Development Integrated Modeling (EDIM) approach in language suitable for decision makers while retaining enough methodological detail for model review, calibration, and extension. It describes what the platform calculates today, how scenarios and datasets enter the model chain, what the results mean, and which gaps must be closed before policy-grade use.</w:t>
      </w:r>
    </w:p>
    <w:tbl>
      <w:tblPr>
        <w:tblStyle w:val="TableGrid"/>
        <w:tblW w:type="dxa" w:w="9360"/>
        <w:jc w:val="left"/>
        <w:tblLayout w:type="fixed"/>
        <w:tblLook w:firstColumn="1" w:firstRow="1" w:lastColumn="0" w:lastRow="0" w:noHBand="0" w:noVBand="1" w:val="04A0"/>
        <w:tblInd w:type="dxa" w:w="120"/>
        <w:tblBorders>
          <w:top w:val="single" w:sz="6" w:color="D7DCE2"/>
          <w:left w:val="single" w:sz="6" w:color="D7DCE2"/>
          <w:bottom w:val="single" w:sz="6" w:color="D7DCE2"/>
          <w:right w:val="single" w:sz="6" w:color="D7DCE2"/>
          <w:insideH w:val="single" w:sz="6" w:color="D7DCE2"/>
          <w:insideV w:val="single" w:sz="6" w:color="D7DCE2"/>
        </w:tblBorders>
      </w:tblPr>
      <w:tblGrid>
        <w:gridCol w:w="2376"/>
        <w:gridCol w:w="6984"/>
      </w:tblGrid>
      <w:tr>
        <w:trPr>
          <w:tblHeader w:val="true"/>
          <w:cantSplit w:val="true"/>
        </w:trPr>
        <w:tc>
          <w:tcPr>
            <w:tcW w:type="dxa" w:w="2376"/>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9"/>
              </w:rPr>
              <w:t>Item</w:t>
            </w:r>
          </w:p>
        </w:tc>
        <w:tc>
          <w:tcPr>
            <w:tcW w:type="dxa" w:w="6984"/>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9"/>
              </w:rPr>
              <w:t>Description</w:t>
            </w:r>
          </w:p>
        </w:tc>
      </w:tr>
      <w:tr>
        <w:trPr>
          <w:cantSplit w:val="true"/>
        </w:trPr>
        <w:tc>
          <w:tcPr>
            <w:tcW w:type="dxa" w:w="2376"/>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9"/>
              </w:rPr>
              <w:t>Primary audiences</w:t>
            </w:r>
          </w:p>
        </w:tc>
        <w:tc>
          <w:tcPr>
            <w:tcW w:type="dxa" w:w="698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9"/>
              </w:rPr>
              <w:t>Policy and programme teams; energy-system modelers; development economists; data and validation specialists.</w:t>
            </w:r>
          </w:p>
        </w:tc>
      </w:tr>
      <w:tr>
        <w:trPr>
          <w:cantSplit w:val="true"/>
        </w:trPr>
        <w:tc>
          <w:tcPr>
            <w:tcW w:type="dxa" w:w="2376"/>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9"/>
              </w:rPr>
              <w:t>Current status</w:t>
            </w:r>
          </w:p>
        </w:tc>
        <w:tc>
          <w:tcPr>
            <w:tcW w:type="dxa" w:w="6984"/>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9"/>
              </w:rPr>
              <w:t>Modeling-team handoff and readiness assessment. This is not a claim of scientific certification.</w:t>
            </w:r>
          </w:p>
        </w:tc>
      </w:tr>
      <w:tr>
        <w:trPr>
          <w:cantSplit w:val="true"/>
        </w:trPr>
        <w:tc>
          <w:tcPr>
            <w:tcW w:type="dxa" w:w="2376"/>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9"/>
              </w:rPr>
              <w:t>Implementation baseline</w:t>
            </w:r>
          </w:p>
        </w:tc>
        <w:tc>
          <w:tcPr>
            <w:tcW w:type="dxa" w:w="698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9"/>
              </w:rPr>
              <w:t>EDIM runtime 0.1.0 with Calliope-Africa and the current coefficient-based development layer.</w:t>
            </w:r>
          </w:p>
        </w:tc>
      </w:tr>
      <w:tr>
        <w:trPr>
          <w:cantSplit w:val="true"/>
        </w:trPr>
        <w:tc>
          <w:tcPr>
            <w:tcW w:type="dxa" w:w="2376"/>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9"/>
              </w:rPr>
              <w:t>Scope</w:t>
            </w:r>
          </w:p>
        </w:tc>
        <w:tc>
          <w:tcPr>
            <w:tcW w:type="dxa" w:w="6984"/>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9"/>
              </w:rPr>
              <w:t>Methods, scenarios, model chain, datasets, outputs, interpretation, validation, governance, and remaining gaps.</w:t>
            </w:r>
          </w:p>
        </w:tc>
      </w:tr>
    </w:tbl>
    <w:p>
      <w:pPr>
        <w:spacing w:after="40"/>
      </w:pPr>
    </w:p>
    <w:p>
      <w:pPr>
        <w:pStyle w:val="Heading2"/>
        <w:keepNext/>
      </w:pPr>
      <w:r>
        <w:t>How to read this report</w:t>
      </w:r>
    </w:p>
    <w:p>
      <w:pPr>
        <w:pStyle w:val="ListBullet"/>
      </w:pPr>
      <w:r>
        <w:rPr>
          <w:rFonts w:ascii="Calibri" w:hAnsi="Calibri"/>
          <w:color w:val="222222"/>
          <w:sz w:val="22"/>
        </w:rPr>
        <w:t>Policy and programme readers should begin with the Executive summary, Policy interpretation guide, and Readiness and work programme sections.</w:t>
      </w:r>
    </w:p>
    <w:p>
      <w:pPr>
        <w:pStyle w:val="ListBullet"/>
      </w:pPr>
      <w:r>
        <w:rPr>
          <w:rFonts w:ascii="Calibri" w:hAnsi="Calibri"/>
          <w:color w:val="222222"/>
          <w:sz w:val="22"/>
        </w:rPr>
        <w:t>Modeling and data teams should also review the energy model, bridge, development calculation, dataset inventory, equations, and run-review appendices.</w:t>
      </w:r>
    </w:p>
    <w:p>
      <w:pPr>
        <w:pStyle w:val="ListBullet"/>
      </w:pPr>
      <w:r>
        <w:rPr>
          <w:rFonts w:ascii="Calibri" w:hAnsi="Calibri"/>
          <w:color w:val="222222"/>
          <w:sz w:val="22"/>
        </w:rPr>
        <w:t>A technically successful run is not automatically a scientifically valid result. Readiness depends on calibration, provenance, comparability, and the quality diagnostics attached to each run.</w:t>
      </w:r>
    </w:p>
    <w:p>
      <w:r>
        <w:br w:type="page"/>
      </w:r>
    </w:p>
    <w:p>
      <w:pPr>
        <w:pStyle w:val="Heading2"/>
        <w:keepNext/>
      </w:pPr>
      <w:r>
        <w:t>Contents</w:t>
      </w:r>
    </w:p>
    <w:p>
      <w:pPr>
        <w:pStyle w:val="ListBullet"/>
      </w:pPr>
      <w:r>
        <w:rPr>
          <w:rFonts w:ascii="Calibri" w:hAnsi="Calibri"/>
          <w:color w:val="222222"/>
          <w:sz w:val="22"/>
        </w:rPr>
        <w:t>Executive summary</w:t>
      </w:r>
    </w:p>
    <w:p>
      <w:pPr>
        <w:pStyle w:val="ListBullet"/>
      </w:pPr>
      <w:r>
        <w:rPr>
          <w:rFonts w:ascii="Calibri" w:hAnsi="Calibri"/>
          <w:color w:val="222222"/>
          <w:sz w:val="22"/>
        </w:rPr>
        <w:t>1. Purpose and policy decision context</w:t>
      </w:r>
    </w:p>
    <w:p>
      <w:pPr>
        <w:pStyle w:val="ListBullet"/>
      </w:pPr>
      <w:r>
        <w:rPr>
          <w:rFonts w:ascii="Calibri" w:hAnsi="Calibri"/>
          <w:color w:val="222222"/>
          <w:sz w:val="22"/>
        </w:rPr>
        <w:t>2. Integrated modeling architecture</w:t>
      </w:r>
    </w:p>
    <w:p>
      <w:pPr>
        <w:pStyle w:val="ListBullet"/>
      </w:pPr>
      <w:r>
        <w:rPr>
          <w:rFonts w:ascii="Calibri" w:hAnsi="Calibri"/>
          <w:color w:val="222222"/>
          <w:sz w:val="22"/>
        </w:rPr>
        <w:t>3. Scenario framework, policy levers, and time</w:t>
      </w:r>
    </w:p>
    <w:p>
      <w:pPr>
        <w:pStyle w:val="ListBullet"/>
      </w:pPr>
      <w:r>
        <w:rPr>
          <w:rFonts w:ascii="Calibri" w:hAnsi="Calibri"/>
          <w:color w:val="222222"/>
          <w:sz w:val="22"/>
        </w:rPr>
        <w:t>4. Energy-system methodology</w:t>
      </w:r>
    </w:p>
    <w:p>
      <w:pPr>
        <w:pStyle w:val="ListBullet"/>
      </w:pPr>
      <w:r>
        <w:rPr>
          <w:rFonts w:ascii="Calibri" w:hAnsi="Calibri"/>
          <w:color w:val="222222"/>
          <w:sz w:val="22"/>
        </w:rPr>
        <w:t>5. Energy-to-development bridge</w:t>
      </w:r>
    </w:p>
    <w:p>
      <w:pPr>
        <w:pStyle w:val="ListBullet"/>
      </w:pPr>
      <w:r>
        <w:rPr>
          <w:rFonts w:ascii="Calibri" w:hAnsi="Calibri"/>
          <w:color w:val="222222"/>
          <w:sz w:val="22"/>
        </w:rPr>
        <w:t>6. Development impact methodology</w:t>
      </w:r>
    </w:p>
    <w:p>
      <w:pPr>
        <w:pStyle w:val="ListBullet"/>
      </w:pPr>
      <w:r>
        <w:rPr>
          <w:rFonts w:ascii="Calibri" w:hAnsi="Calibri"/>
          <w:color w:val="222222"/>
          <w:sz w:val="22"/>
        </w:rPr>
        <w:t>7. Integrated indicators and interpretation</w:t>
      </w:r>
    </w:p>
    <w:p>
      <w:pPr>
        <w:pStyle w:val="ListBullet"/>
      </w:pPr>
      <w:r>
        <w:rPr>
          <w:rFonts w:ascii="Calibri" w:hAnsi="Calibri"/>
          <w:color w:val="222222"/>
          <w:sz w:val="22"/>
        </w:rPr>
        <w:t>8. Data, provenance, and readiness</w:t>
      </w:r>
    </w:p>
    <w:p>
      <w:pPr>
        <w:pStyle w:val="ListBullet"/>
      </w:pPr>
      <w:r>
        <w:rPr>
          <w:rFonts w:ascii="Calibri" w:hAnsi="Calibri"/>
          <w:color w:val="222222"/>
          <w:sz w:val="22"/>
        </w:rPr>
        <w:t>9. Validation and model governance</w:t>
      </w:r>
    </w:p>
    <w:p>
      <w:pPr>
        <w:pStyle w:val="ListBullet"/>
      </w:pPr>
      <w:r>
        <w:rPr>
          <w:rFonts w:ascii="Calibri" w:hAnsi="Calibri"/>
          <w:color w:val="222222"/>
          <w:sz w:val="22"/>
        </w:rPr>
        <w:t>10. Remaining gaps and work programme</w:t>
      </w:r>
    </w:p>
    <w:p>
      <w:pPr>
        <w:pStyle w:val="ListBullet"/>
      </w:pPr>
      <w:r>
        <w:rPr>
          <w:rFonts w:ascii="Calibri" w:hAnsi="Calibri"/>
          <w:color w:val="222222"/>
          <w:sz w:val="22"/>
        </w:rPr>
        <w:t>Appendix A. Technical methods and equations</w:t>
      </w:r>
    </w:p>
    <w:p>
      <w:pPr>
        <w:pStyle w:val="ListBullet"/>
      </w:pPr>
      <w:r>
        <w:rPr>
          <w:rFonts w:ascii="Calibri" w:hAnsi="Calibri"/>
          <w:color w:val="222222"/>
          <w:sz w:val="22"/>
        </w:rPr>
        <w:t>Appendix B. Dataset register</w:t>
      </w:r>
    </w:p>
    <w:p>
      <w:pPr>
        <w:pStyle w:val="ListBullet"/>
      </w:pPr>
      <w:r>
        <w:rPr>
          <w:rFonts w:ascii="Calibri" w:hAnsi="Calibri"/>
          <w:color w:val="222222"/>
          <w:sz w:val="22"/>
        </w:rPr>
        <w:t>Appendix C. Outputs and run review</w:t>
      </w:r>
    </w:p>
    <w:p>
      <w:pPr>
        <w:pStyle w:val="ListBullet"/>
      </w:pPr>
      <w:r>
        <w:rPr>
          <w:rFonts w:ascii="Calibri" w:hAnsi="Calibri"/>
          <w:color w:val="222222"/>
          <w:sz w:val="22"/>
        </w:rPr>
        <w:t>Appendix D. Glossary</w:t>
      </w:r>
    </w:p>
    <w:p>
      <w:pPr>
        <w:pStyle w:val="Heading2"/>
        <w:keepNext/>
      </w:pPr>
      <w:r>
        <w:t>Report conventions</w:t>
      </w:r>
    </w:p>
    <w:p>
      <w:pPr>
        <w:pStyle w:val="ListBullet"/>
      </w:pPr>
      <w:r>
        <w:rPr>
          <w:rFonts w:ascii="Calibri" w:hAnsi="Calibri"/>
          <w:color w:val="222222"/>
          <w:sz w:val="22"/>
        </w:rPr>
        <w:t>Operational means the current code path executes; it does not mean the method or data have been independently certified.</w:t>
      </w:r>
    </w:p>
    <w:p>
      <w:pPr>
        <w:pStyle w:val="ListBullet"/>
      </w:pPr>
      <w:r>
        <w:rPr>
          <w:rFonts w:ascii="Calibri" w:hAnsi="Calibri"/>
          <w:color w:val="222222"/>
          <w:sz w:val="22"/>
        </w:rPr>
        <w:t>Exploratory identifies results suitable for question framing and controlled comparison, with caveats visible.</w:t>
      </w:r>
    </w:p>
    <w:p>
      <w:pPr>
        <w:pStyle w:val="ListBullet"/>
      </w:pPr>
      <w:r>
        <w:rPr>
          <w:rFonts w:ascii="Calibri" w:hAnsi="Calibri"/>
          <w:color w:val="222222"/>
          <w:sz w:val="22"/>
        </w:rPr>
        <w:t>Policy-grade identifies the future standard: calibrated data and models, full provenance, uncertainty analysis, independent validation, and governance approval.</w:t>
      </w:r>
    </w:p>
    <w:p>
      <w:pPr>
        <w:spacing w:after="60"/>
      </w:pPr>
      <w:r>
        <w:rPr>
          <w:rFonts w:ascii="Calibri" w:hAnsi="Calibri"/>
          <w:b/>
          <w:color w:val="0B2545"/>
          <w:sz w:val="21"/>
        </w:rPr>
        <w:t xml:space="preserve">Source basis: </w:t>
      </w:r>
      <w:r>
        <w:rPr>
          <w:rFonts w:ascii="Calibri" w:hAnsi="Calibri"/>
          <w:color w:val="222222"/>
          <w:sz w:val="21"/>
        </w:rPr>
        <w:t>Repository implementation, manifests, model input/output catalog, and seeded datasets reviewed on 19 July 2026.</w:t>
      </w:r>
    </w:p>
    <w:p>
      <w:r>
        <w:br w:type="page"/>
      </w:r>
    </w:p>
    <w:p>
      <w:pPr>
        <w:pStyle w:val="Heading1"/>
        <w:keepNext/>
      </w:pPr>
      <w:r>
        <w:t>Executive summary</w:t>
      </w:r>
    </w:p>
    <w:p>
      <w:pPr/>
      <w:r>
        <w:rPr>
          <w:rFonts w:ascii="Calibri" w:hAnsi="Calibri"/>
          <w:i w:val="0"/>
          <w:color w:val="222222"/>
          <w:sz w:val="22"/>
        </w:rPr>
        <w:t>EDIM is a scenario-based decision-support platform designed to connect energy-system choices with development outcomes. Its central proposition is that power-sector pathways should not be assessed only through capacity, generation, cost, and emissions. They should also be examined for their implications for employment, value added, household income, reliability, trade exposure, and the geography of benefits and costs.</w:t>
      </w:r>
    </w:p>
    <w:p>
      <w:pPr>
        <w:spacing w:before="120" w:after="200" w:line="264" w:lineRule="auto"/>
        <w:ind w:left="173" w:right="173"/>
        <w:shd w:fill="FFF7DF"/>
        <w:pBdr>
          <w:top w:val="single" w:sz="8" w:space="6" w:color="7A5A00"/>
          <w:left w:val="single" w:sz="8" w:space="6" w:color="7A5A00"/>
          <w:bottom w:val="single" w:sz="8" w:space="6" w:color="7A5A00"/>
          <w:right w:val="single" w:sz="8" w:space="6" w:color="7A5A00"/>
        </w:pBdr>
      </w:pPr>
      <w:r>
        <w:rPr>
          <w:rFonts w:ascii="Calibri" w:hAnsi="Calibri"/>
          <w:b/>
          <w:color w:val="7A5A00"/>
          <w:sz w:val="20"/>
        </w:rPr>
        <w:t xml:space="preserve">CURRENT READINESS  </w:t>
      </w:r>
      <w:r>
        <w:rPr>
          <w:rFonts w:ascii="Calibri" w:hAnsi="Calibri"/>
          <w:color w:val="222222"/>
          <w:sz w:val="20"/>
        </w:rPr>
        <w:t>The energy model is executable and the integrated workflow is operational. The development results remain exploratory because the current engine applies seeded region-sector intensity coefficients to positive spending shocks. It does not yet run a calibrated multiregional input-output matrix model. Policy teams should use current development outputs to test questions, interfaces, and comparative logic, not as final forecasts or investment claims.</w:t>
      </w:r>
    </w:p>
    <w:p>
      <w:pPr>
        <w:pStyle w:val="Heading2"/>
        <w:keepNext/>
      </w:pPr>
      <w:r>
        <w:t>What the platform does today</w:t>
      </w:r>
    </w:p>
    <w:p>
      <w:pPr>
        <w:pStyle w:val="ListBullet"/>
      </w:pPr>
      <w:r>
        <w:rPr>
          <w:rFonts w:ascii="Calibri" w:hAnsi="Calibri"/>
          <w:color w:val="222222"/>
          <w:sz w:val="22"/>
        </w:rPr>
        <w:t>Builds and solves Calliope-Africa energy scenarios covering demand pathways, generation expansion, transmission expansion, policy constraints, and user-defined levers.</w:t>
      </w:r>
    </w:p>
    <w:p>
      <w:pPr>
        <w:pStyle w:val="ListBullet"/>
      </w:pPr>
      <w:r>
        <w:rPr>
          <w:rFonts w:ascii="Calibri" w:hAnsi="Calibri"/>
          <w:color w:val="222222"/>
          <w:sz w:val="22"/>
        </w:rPr>
        <w:t>Summarizes energy outcomes including generation, capacity, monetary cost, emissions, reliability, and power-pool trade.</w:t>
      </w:r>
    </w:p>
    <w:p>
      <w:pPr>
        <w:pStyle w:val="ListBullet"/>
      </w:pPr>
      <w:r>
        <w:rPr>
          <w:rFonts w:ascii="Calibri" w:hAnsi="Calibri"/>
          <w:color w:val="222222"/>
          <w:sz w:val="22"/>
        </w:rPr>
        <w:t>Translates technology- and location-specific monetary activity into CAPEX, OPEX, and fuel supplier-sector shocks.</w:t>
      </w:r>
    </w:p>
    <w:p>
      <w:pPr>
        <w:pStyle w:val="ListBullet"/>
      </w:pPr>
      <w:r>
        <w:rPr>
          <w:rFonts w:ascii="Calibri" w:hAnsi="Calibri"/>
          <w:color w:val="222222"/>
          <w:sz w:val="22"/>
        </w:rPr>
        <w:t>Estimates jobs, gross value added, and household-income support using regional and sectoral intensity factors.</w:t>
      </w:r>
    </w:p>
    <w:p>
      <w:pPr>
        <w:pStyle w:val="ListBullet"/>
      </w:pPr>
      <w:r>
        <w:rPr>
          <w:rFonts w:ascii="Calibri" w:hAnsi="Calibri"/>
          <w:color w:val="222222"/>
          <w:sz w:val="22"/>
        </w:rPr>
        <w:t>Packages scenario provenance, data versions, mapping coverage, uncertainty ranges, warnings, and metric-resolution metadata with every run.</w:t>
      </w:r>
    </w:p>
    <w:p>
      <w:pPr>
        <w:pStyle w:val="Heading2"/>
        <w:keepNext/>
      </w:pPr>
      <w:r>
        <w:t>What it does not yet establish</w:t>
      </w:r>
    </w:p>
    <w:p>
      <w:pPr>
        <w:pStyle w:val="ListBullet"/>
      </w:pPr>
      <w:r>
        <w:rPr>
          <w:rFonts w:ascii="Calibri" w:hAnsi="Calibri"/>
          <w:color w:val="222222"/>
          <w:sz w:val="22"/>
        </w:rPr>
        <w:t>It does not provide a causal national employment or GDP forecast.</w:t>
      </w:r>
    </w:p>
    <w:p>
      <w:pPr>
        <w:pStyle w:val="ListBullet"/>
      </w:pPr>
      <w:r>
        <w:rPr>
          <w:rFonts w:ascii="Calibri" w:hAnsi="Calibri"/>
          <w:color w:val="222222"/>
          <w:sz w:val="22"/>
        </w:rPr>
        <w:t>It does not yet solve a full MRIO Leontief system or model endogenous prices, trade propagation, household feedbacks, or dynamic adjustment.</w:t>
      </w:r>
    </w:p>
    <w:p>
      <w:pPr>
        <w:pStyle w:val="ListBullet"/>
      </w:pPr>
      <w:r>
        <w:rPr>
          <w:rFonts w:ascii="Calibri" w:hAnsi="Calibri"/>
          <w:color w:val="222222"/>
          <w:sz w:val="22"/>
        </w:rPr>
        <w:t>It does not yet represent transition losses, avoided fossil activity, displacement, or stranded assets consistently because the bridge headline channel retains positive monetary activity only.</w:t>
      </w:r>
    </w:p>
    <w:p>
      <w:pPr>
        <w:pStyle w:val="ListBullet"/>
      </w:pPr>
      <w:r>
        <w:rPr>
          <w:rFonts w:ascii="Calibri" w:hAnsi="Calibri"/>
          <w:color w:val="222222"/>
          <w:sz w:val="22"/>
        </w:rPr>
        <w:t>It does not support annual comparisons across shortened and full temporal profiles without additional weighting and calibration.</w:t>
      </w:r>
    </w:p>
    <w:p>
      <w:pPr>
        <w:pStyle w:val="ListBullet"/>
      </w:pPr>
      <w:r>
        <w:rPr>
          <w:rFonts w:ascii="Calibri" w:hAnsi="Calibri"/>
          <w:color w:val="222222"/>
          <w:sz w:val="22"/>
        </w:rPr>
        <w:t>It does not replace country-led scenario design, sector expertise, distributional analysis, or project appraisal.</w:t>
      </w:r>
    </w:p>
    <w:p>
      <w:r>
        <w:br w:type="page"/>
      </w:r>
    </w:p>
    <w:p>
      <w:pPr>
        <w:pStyle w:val="Heading2"/>
        <w:keepNext/>
      </w:pPr>
      <w:r>
        <w:t>Current methodological status</w:t>
      </w:r>
    </w:p>
    <w:tbl>
      <w:tblPr>
        <w:tblStyle w:val="TableGrid"/>
        <w:tblW w:type="dxa" w:w="9360"/>
        <w:jc w:val="left"/>
        <w:tblLayout w:type="fixed"/>
        <w:tblLook w:firstColumn="1" w:firstRow="1" w:lastColumn="0" w:lastRow="0" w:noHBand="0" w:noVBand="1" w:val="04A0"/>
        <w:tblInd w:type="dxa" w:w="120"/>
        <w:tblBorders>
          <w:top w:val="single" w:sz="6" w:color="D7DCE2"/>
          <w:left w:val="single" w:sz="6" w:color="D7DCE2"/>
          <w:bottom w:val="single" w:sz="6" w:color="D7DCE2"/>
          <w:right w:val="single" w:sz="6" w:color="D7DCE2"/>
          <w:insideH w:val="single" w:sz="6" w:color="D7DCE2"/>
          <w:insideV w:val="single" w:sz="6" w:color="D7DCE2"/>
        </w:tblBorders>
      </w:tblPr>
      <w:tblGrid>
        <w:gridCol w:w="2520"/>
        <w:gridCol w:w="1800"/>
        <w:gridCol w:w="5040"/>
      </w:tblGrid>
      <w:tr>
        <w:trPr>
          <w:tblHeader w:val="true"/>
          <w:cantSplit w:val="true"/>
        </w:trPr>
        <w:tc>
          <w:tcPr>
            <w:tcW w:type="dxa" w:w="2520"/>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Component</w:t>
            </w:r>
          </w:p>
        </w:tc>
        <w:tc>
          <w:tcPr>
            <w:tcW w:type="dxa" w:w="1800"/>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Executable status</w:t>
            </w:r>
          </w:p>
        </w:tc>
        <w:tc>
          <w:tcPr>
            <w:tcW w:type="dxa" w:w="5040"/>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Scientific readiness</w:t>
            </w:r>
          </w:p>
        </w:tc>
      </w:tr>
      <w:tr>
        <w:trPr>
          <w:cantSplit w:val="true"/>
        </w:trPr>
        <w:tc>
          <w:tcPr>
            <w:tcW w:type="dxa" w:w="252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Calliope energy model</w:t>
            </w:r>
          </w:p>
        </w:tc>
        <w:tc>
          <w:tcPr>
            <w:tcW w:type="dxa" w:w="180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Operational</w:t>
            </w:r>
          </w:p>
        </w:tc>
        <w:tc>
          <w:tcPr>
            <w:tcW w:type="dxa" w:w="504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Requires consolidated provenance, calibration, benchmark cases, and scenario sign-off.</w:t>
            </w:r>
          </w:p>
        </w:tc>
      </w:tr>
      <w:tr>
        <w:trPr>
          <w:cantSplit w:val="true"/>
        </w:trPr>
        <w:tc>
          <w:tcPr>
            <w:tcW w:type="dxa" w:w="2520"/>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Energy-development bridge</w:t>
            </w:r>
          </w:p>
        </w:tc>
        <w:tc>
          <w:tcPr>
            <w:tcW w:type="dxa" w:w="1800"/>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Operational</w:t>
            </w:r>
          </w:p>
        </w:tc>
        <w:tc>
          <w:tcPr>
            <w:tcW w:type="dxa" w:w="5040"/>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Mappings are explicit; unit conversion, sector coverage, fallbacks, and negative shocks need review.</w:t>
            </w:r>
          </w:p>
        </w:tc>
      </w:tr>
      <w:tr>
        <w:trPr>
          <w:cantSplit w:val="true"/>
        </w:trPr>
        <w:tc>
          <w:tcPr>
            <w:tcW w:type="dxa" w:w="252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Development estimator</w:t>
            </w:r>
          </w:p>
        </w:tc>
        <w:tc>
          <w:tcPr>
            <w:tcW w:type="dxa" w:w="180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Operational</w:t>
            </w:r>
          </w:p>
        </w:tc>
        <w:tc>
          <w:tcPr>
            <w:tcW w:type="dxa" w:w="504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Coefficient-based. Seeded employment and value-added intensities are not policy-grade.</w:t>
            </w:r>
          </w:p>
        </w:tc>
      </w:tr>
      <w:tr>
        <w:trPr>
          <w:cantSplit w:val="true"/>
        </w:trPr>
        <w:tc>
          <w:tcPr>
            <w:tcW w:type="dxa" w:w="2520"/>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MRIO-direct channel</w:t>
            </w:r>
          </w:p>
        </w:tc>
        <w:tc>
          <w:tcPr>
            <w:tcW w:type="dxa" w:w="1800"/>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Operational</w:t>
            </w:r>
          </w:p>
        </w:tc>
        <w:tc>
          <w:tcPr>
            <w:tcW w:type="dxa" w:w="5040"/>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Heuristic comparison channel; not used for headline totals.</w:t>
            </w:r>
          </w:p>
        </w:tc>
      </w:tr>
      <w:tr>
        <w:trPr>
          <w:cantSplit w:val="true"/>
        </w:trPr>
        <w:tc>
          <w:tcPr>
            <w:tcW w:type="dxa" w:w="252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OSeMOSYS</w:t>
            </w:r>
          </w:p>
        </w:tc>
        <w:tc>
          <w:tcPr>
            <w:tcW w:type="dxa" w:w="180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Planned</w:t>
            </w:r>
          </w:p>
        </w:tc>
        <w:tc>
          <w:tcPr>
            <w:tcW w:type="dxa" w:w="504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No executable or validated model is currently provided.</w:t>
            </w:r>
          </w:p>
        </w:tc>
      </w:tr>
    </w:tbl>
    <w:p>
      <w:pPr>
        <w:spacing w:after="40"/>
      </w:pPr>
    </w:p>
    <w:p>
      <w:pPr>
        <w:pStyle w:val="Heading2"/>
        <w:keepNext/>
      </w:pPr>
      <w:r>
        <w:t>Immediate decisions for the modeling team</w:t>
      </w:r>
    </w:p>
    <w:p>
      <w:pPr>
        <w:pStyle w:val="ListNumber"/>
        <w:numPr>
          <w:ilvl w:val="0"/>
          <w:numId w:val="10"/>
        </w:numPr>
      </w:pPr>
      <w:r>
        <w:rPr>
          <w:rFonts w:ascii="Calibri" w:hAnsi="Calibri"/>
          <w:color w:val="222222"/>
          <w:sz w:val="22"/>
        </w:rPr>
        <w:t>Confirm the policy questions, baseline, and scenario families that EDIM is expected to support.</w:t>
      </w:r>
    </w:p>
    <w:p>
      <w:pPr>
        <w:pStyle w:val="ListNumber"/>
        <w:numPr>
          <w:ilvl w:val="0"/>
          <w:numId w:val="10"/>
        </w:numPr>
      </w:pPr>
      <w:r>
        <w:rPr>
          <w:rFonts w:ascii="Calibri" w:hAnsi="Calibri"/>
          <w:color w:val="222222"/>
          <w:sz w:val="22"/>
        </w:rPr>
        <w:t>Freeze monetary units, currency and price basis, reference years, annualization, discounting, and gross-versus-net accounting.</w:t>
      </w:r>
    </w:p>
    <w:p>
      <w:pPr>
        <w:pStyle w:val="ListNumber"/>
        <w:numPr>
          <w:ilvl w:val="0"/>
          <w:numId w:val="10"/>
        </w:numPr>
      </w:pPr>
      <w:r>
        <w:rPr>
          <w:rFonts w:ascii="Calibri" w:hAnsi="Calibri"/>
          <w:color w:val="222222"/>
          <w:sz w:val="22"/>
        </w:rPr>
        <w:t>Complete and approve the Calliope source register, calibration report, and benchmark scenarios.</w:t>
      </w:r>
    </w:p>
    <w:p>
      <w:pPr>
        <w:pStyle w:val="ListNumber"/>
        <w:numPr>
          <w:ilvl w:val="0"/>
          <w:numId w:val="10"/>
        </w:numPr>
      </w:pPr>
      <w:r>
        <w:rPr>
          <w:rFonts w:ascii="Calibri" w:hAnsi="Calibri"/>
          <w:color w:val="222222"/>
          <w:sz w:val="22"/>
        </w:rPr>
        <w:t>Select the MRIO database and approve geography, sector, and technology concordances.</w:t>
      </w:r>
    </w:p>
    <w:p>
      <w:pPr>
        <w:pStyle w:val="ListNumber"/>
        <w:numPr>
          <w:ilvl w:val="0"/>
          <w:numId w:val="10"/>
        </w:numPr>
      </w:pPr>
      <w:r>
        <w:rPr>
          <w:rFonts w:ascii="Calibri" w:hAnsi="Calibri"/>
          <w:color w:val="222222"/>
          <w:sz w:val="22"/>
        </w:rPr>
        <w:t>Replace seeded employment, value-added, and scenario assumptions with cited, reviewed datasets.</w:t>
      </w:r>
    </w:p>
    <w:p>
      <w:pPr>
        <w:pStyle w:val="ListNumber"/>
        <w:numPr>
          <w:ilvl w:val="0"/>
          <w:numId w:val="10"/>
        </w:numPr>
      </w:pPr>
      <w:r>
        <w:rPr>
          <w:rFonts w:ascii="Calibri" w:hAnsi="Calibri"/>
          <w:color w:val="222222"/>
          <w:sz w:val="22"/>
        </w:rPr>
        <w:t>Define how transition gains, losses, imports, displacement, and overlapping shock channels will be reconciled.</w:t>
      </w:r>
    </w:p>
    <w:p>
      <w:pPr>
        <w:pStyle w:val="Heading1"/>
        <w:keepNext/>
      </w:pPr>
      <w:r>
        <w:t>1. Purpose and policy decision context</w:t>
      </w:r>
    </w:p>
    <w:p>
      <w:pPr>
        <w:pStyle w:val="Heading2"/>
        <w:keepNext/>
      </w:pPr>
      <w:r>
        <w:t>1.1 The decision problem</w:t>
      </w:r>
    </w:p>
    <w:p>
      <w:pPr/>
      <w:r>
        <w:rPr>
          <w:rFonts w:ascii="Calibri" w:hAnsi="Calibri"/>
          <w:i w:val="0"/>
          <w:color w:val="222222"/>
          <w:sz w:val="22"/>
        </w:rPr>
        <w:t>Energy transition decisions create outcomes across several systems at once. A pathway that reduces emissions may require higher near-term investment. A transmission expansion may improve reliability and regional trade while shifting where expenditure occurs. Renewable deployment may support new supply chains but also reduce activity in incumbent fossil sectors. EDIM is intended to make these trade-offs visible in one traceable scenario workflow.</w:t>
      </w:r>
    </w:p>
    <w:p>
      <w:pPr>
        <w:pStyle w:val="Heading2"/>
        <w:keepNext/>
      </w:pPr>
      <w:r>
        <w:t>1.2 Questions EDIM can help structure</w:t>
      </w:r>
    </w:p>
    <w:p>
      <w:pPr>
        <w:pStyle w:val="ListBullet"/>
      </w:pPr>
      <w:r>
        <w:rPr>
          <w:rFonts w:ascii="Calibri" w:hAnsi="Calibri"/>
          <w:color w:val="222222"/>
          <w:sz w:val="22"/>
        </w:rPr>
        <w:t>How do alternative demand, generation, transmission, and policy pathways change energy-system cost, reliability, emissions, and spatial outcomes?</w:t>
      </w:r>
    </w:p>
    <w:p>
      <w:pPr>
        <w:pStyle w:val="ListBullet"/>
      </w:pPr>
      <w:r>
        <w:rPr>
          <w:rFonts w:ascii="Calibri" w:hAnsi="Calibri"/>
          <w:color w:val="222222"/>
          <w:sz w:val="22"/>
        </w:rPr>
        <w:t>Which technologies, locations, and supplier sectors receive modeled investment and operating expenditure?</w:t>
      </w:r>
    </w:p>
    <w:p>
      <w:pPr>
        <w:pStyle w:val="ListBullet"/>
      </w:pPr>
      <w:r>
        <w:rPr>
          <w:rFonts w:ascii="Calibri" w:hAnsi="Calibri"/>
          <w:color w:val="222222"/>
          <w:sz w:val="22"/>
        </w:rPr>
        <w:t>Under stated intensity assumptions, how much employment, value added, and household-income support is associated with that expenditure?</w:t>
      </w:r>
    </w:p>
    <w:p>
      <w:pPr>
        <w:pStyle w:val="ListBullet"/>
      </w:pPr>
      <w:r>
        <w:rPr>
          <w:rFonts w:ascii="Calibri" w:hAnsi="Calibri"/>
          <w:color w:val="222222"/>
          <w:sz w:val="22"/>
        </w:rPr>
        <w:t>How sensitive are comparative results to policy levers, scenario definitions, mapping choices, temporal resolution, and dataset versions?</w:t>
      </w:r>
    </w:p>
    <w:p>
      <w:pPr>
        <w:pStyle w:val="ListBullet"/>
      </w:pPr>
      <w:r>
        <w:rPr>
          <w:rFonts w:ascii="Calibri" w:hAnsi="Calibri"/>
          <w:color w:val="222222"/>
          <w:sz w:val="22"/>
        </w:rPr>
        <w:t>Which evidence and model gaps prevent a result from being used for a policy claim?</w:t>
      </w:r>
    </w:p>
    <w:p>
      <w:pPr>
        <w:pStyle w:val="Heading2"/>
        <w:keepNext/>
      </w:pPr>
      <w:r>
        <w:t>1.3 Interpretation tiers</w:t>
      </w:r>
    </w:p>
    <w:tbl>
      <w:tblPr>
        <w:tblStyle w:val="TableGrid"/>
        <w:tblW w:type="dxa" w:w="9360"/>
        <w:jc w:val="left"/>
        <w:tblLayout w:type="fixed"/>
        <w:tblLook w:firstColumn="1" w:firstRow="1" w:lastColumn="0" w:lastRow="0" w:noHBand="0" w:noVBand="1" w:val="04A0"/>
        <w:tblInd w:type="dxa" w:w="120"/>
        <w:tblBorders>
          <w:top w:val="single" w:sz="6" w:color="D7DCE2"/>
          <w:left w:val="single" w:sz="6" w:color="D7DCE2"/>
          <w:bottom w:val="single" w:sz="6" w:color="D7DCE2"/>
          <w:right w:val="single" w:sz="6" w:color="D7DCE2"/>
          <w:insideH w:val="single" w:sz="6" w:color="D7DCE2"/>
          <w:insideV w:val="single" w:sz="6" w:color="D7DCE2"/>
        </w:tblBorders>
      </w:tblPr>
      <w:tblGrid>
        <w:gridCol w:w="1800"/>
        <w:gridCol w:w="3672"/>
        <w:gridCol w:w="3888"/>
      </w:tblGrid>
      <w:tr>
        <w:trPr>
          <w:tblHeader w:val="true"/>
          <w:cantSplit w:val="true"/>
        </w:trPr>
        <w:tc>
          <w:tcPr>
            <w:tcW w:type="dxa" w:w="1800"/>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Tier</w:t>
            </w:r>
          </w:p>
        </w:tc>
        <w:tc>
          <w:tcPr>
            <w:tcW w:type="dxa" w:w="3672"/>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Permitted interpretation</w:t>
            </w:r>
          </w:p>
        </w:tc>
        <w:tc>
          <w:tcPr>
            <w:tcW w:type="dxa" w:w="3888"/>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Conditions</w:t>
            </w:r>
          </w:p>
        </w:tc>
      </w:tr>
      <w:tr>
        <w:trPr>
          <w:cantSplit w:val="true"/>
        </w:trPr>
        <w:tc>
          <w:tcPr>
            <w:tcW w:type="dxa" w:w="180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Technical test</w:t>
            </w:r>
          </w:p>
        </w:tc>
        <w:tc>
          <w:tcPr>
            <w:tcW w:type="dxa" w:w="367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Confirms that data, model stages, APIs, and outputs operate together.</w:t>
            </w:r>
          </w:p>
        </w:tc>
        <w:tc>
          <w:tcPr>
            <w:tcW w:type="dxa" w:w="388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A run may use the dev profile and seeded inputs; no policy claim.</w:t>
            </w:r>
          </w:p>
        </w:tc>
      </w:tr>
      <w:tr>
        <w:trPr>
          <w:cantSplit w:val="true"/>
        </w:trPr>
        <w:tc>
          <w:tcPr>
            <w:tcW w:type="dxa" w:w="1800"/>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Exploratory analysis</w:t>
            </w:r>
          </w:p>
        </w:tc>
        <w:tc>
          <w:tcPr>
            <w:tcW w:type="dxa" w:w="367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Supports scenario framing and directional comparison.</w:t>
            </w:r>
          </w:p>
        </w:tc>
        <w:tc>
          <w:tcPr>
            <w:tcW w:type="dxa" w:w="388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Comparable runs, visible caveats, analyst review, and no unsupported precision.</w:t>
            </w:r>
          </w:p>
        </w:tc>
      </w:tr>
      <w:tr>
        <w:trPr>
          <w:cantSplit w:val="true"/>
        </w:trPr>
        <w:tc>
          <w:tcPr>
            <w:tcW w:type="dxa" w:w="180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Policy-grade analysis</w:t>
            </w:r>
          </w:p>
        </w:tc>
        <w:tc>
          <w:tcPr>
            <w:tcW w:type="dxa" w:w="367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Supports an externally defensible policy finding.</w:t>
            </w:r>
          </w:p>
        </w:tc>
        <w:tc>
          <w:tcPr>
            <w:tcW w:type="dxa" w:w="388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Calibrated models and data, approved baseline, full provenance, uncertainty analysis, independent validation, and governance sign-off.</w:t>
            </w:r>
          </w:p>
        </w:tc>
      </w:tr>
    </w:tbl>
    <w:p>
      <w:pPr>
        <w:spacing w:after="40"/>
      </w:pPr>
    </w:p>
    <w:p>
      <w:pPr>
        <w:spacing w:before="120" w:after="200" w:line="264" w:lineRule="auto"/>
        <w:ind w:left="173" w:right="173"/>
        <w:shd w:fill="E8EEF5"/>
        <w:pBdr>
          <w:top w:val="single" w:sz="8" w:space="6" w:color="2E74B5"/>
          <w:left w:val="single" w:sz="8" w:space="6" w:color="2E74B5"/>
          <w:bottom w:val="single" w:sz="8" w:space="6" w:color="2E74B5"/>
          <w:right w:val="single" w:sz="8" w:space="6" w:color="2E74B5"/>
        </w:pBdr>
      </w:pPr>
      <w:r>
        <w:rPr>
          <w:rFonts w:ascii="Calibri" w:hAnsi="Calibri"/>
          <w:b/>
          <w:color w:val="2E74B5"/>
          <w:sz w:val="20"/>
        </w:rPr>
        <w:t xml:space="preserve">POLICY INTERPRETATION RULE  </w:t>
      </w:r>
      <w:r>
        <w:rPr>
          <w:rFonts w:ascii="Calibri" w:hAnsi="Calibri"/>
          <w:color w:val="222222"/>
          <w:sz w:val="20"/>
        </w:rPr>
        <w:t>Current EDIM development results are at the exploratory tier. Energy results may support stronger technical interpretation only after the relevant Calliope scenario, data, temporal profile, and calibration checks have been completed.</w:t>
      </w:r>
    </w:p>
    <w:p>
      <w:pPr>
        <w:pStyle w:val="Heading1"/>
        <w:keepNext/>
      </w:pPr>
      <w:r>
        <w:t>2. Integrated modeling architecture</w:t>
      </w:r>
    </w:p>
    <w:p>
      <w:pPr>
        <w:pStyle w:val="Heading2"/>
        <w:keepNext/>
      </w:pPr>
      <w:r>
        <w:t>2.1 One scenario package, two model architectures</w:t>
      </w:r>
    </w:p>
    <w:p>
      <w:pPr/>
      <w:r>
        <w:rPr>
          <w:rFonts w:ascii="Calibri" w:hAnsi="Calibri"/>
          <w:i w:val="0"/>
          <w:color w:val="222222"/>
          <w:sz w:val="22"/>
        </w:rPr>
        <w:t>Every run starts from a versioned integrated scenario package. This package records the selected architecture, energy pathway, development target pathway, target year, policy levers, geography alignment, model and dataset versions, and artifact policy. It is the authoritative statement of what was requested and should travel with every result.</w:t>
      </w:r>
    </w:p>
    <w:tbl>
      <w:tblPr>
        <w:tblStyle w:val="TableGrid"/>
        <w:tblW w:type="dxa" w:w="9360"/>
        <w:jc w:val="left"/>
        <w:tblLayout w:type="fixed"/>
        <w:tblLook w:firstColumn="1" w:firstRow="1" w:lastColumn="0" w:lastRow="0" w:noHBand="0" w:noVBand="1" w:val="04A0"/>
        <w:tblInd w:type="dxa" w:w="120"/>
        <w:tblBorders>
          <w:top w:val="single" w:sz="6" w:color="D7DCE2"/>
          <w:left w:val="single" w:sz="6" w:color="D7DCE2"/>
          <w:bottom w:val="single" w:sz="6" w:color="D7DCE2"/>
          <w:right w:val="single" w:sz="6" w:color="D7DCE2"/>
          <w:insideH w:val="single" w:sz="6" w:color="D7DCE2"/>
          <w:insideV w:val="single" w:sz="6" w:color="D7DCE2"/>
        </w:tblBorders>
      </w:tblPr>
      <w:tblGrid>
        <w:gridCol w:w="1944"/>
        <w:gridCol w:w="1800"/>
        <w:gridCol w:w="1944"/>
        <w:gridCol w:w="1800"/>
        <w:gridCol w:w="1872"/>
      </w:tblGrid>
      <w:tr>
        <w:trPr>
          <w:tblHeader w:val="true"/>
          <w:cantSplit w:val="true"/>
        </w:trPr>
        <w:tc>
          <w:tcPr>
            <w:tcW w:type="dxa" w:w="1944"/>
            <w:shd w:fill="E8EEF5"/>
            <w:vAlign w:val="center"/>
            <w:tcMar>
              <w:top w:w="95" w:type="dxa"/>
              <w:bottom w:w="95" w:type="dxa"/>
              <w:start w:w="120" w:type="dxa"/>
              <w:end w:w="120" w:type="dxa"/>
            </w:tcMar>
          </w:tcPr>
          <w:p>
            <w:pPr>
              <w:spacing w:before="0" w:after="0" w:line="259" w:lineRule="auto"/>
              <w:jc w:val="left"/>
            </w:pPr>
            <w:r/>
            <w:r>
              <w:rPr>
                <w:rFonts w:ascii="Calibri" w:hAnsi="Calibri"/>
                <w:b/>
                <w:color w:val="0B2545"/>
                <w:sz w:val="17"/>
              </w:rPr>
              <w:t>Scenario</w:t>
            </w:r>
          </w:p>
        </w:tc>
        <w:tc>
          <w:tcPr>
            <w:tcW w:type="dxa" w:w="1800"/>
            <w:shd w:fill="E8EEF5"/>
            <w:vAlign w:val="center"/>
            <w:tcMar>
              <w:top w:w="95" w:type="dxa"/>
              <w:bottom w:w="95" w:type="dxa"/>
              <w:start w:w="120" w:type="dxa"/>
              <w:end w:w="120" w:type="dxa"/>
            </w:tcMar>
          </w:tcPr>
          <w:p>
            <w:pPr>
              <w:spacing w:before="0" w:after="0" w:line="259" w:lineRule="auto"/>
              <w:jc w:val="left"/>
            </w:pPr>
            <w:r/>
            <w:r>
              <w:rPr>
                <w:rFonts w:ascii="Calibri" w:hAnsi="Calibri"/>
                <w:b/>
                <w:color w:val="0B2545"/>
                <w:sz w:val="17"/>
              </w:rPr>
              <w:t>Energy model</w:t>
            </w:r>
          </w:p>
        </w:tc>
        <w:tc>
          <w:tcPr>
            <w:tcW w:type="dxa" w:w="1944"/>
            <w:shd w:fill="E8EEF5"/>
            <w:vAlign w:val="center"/>
            <w:tcMar>
              <w:top w:w="95" w:type="dxa"/>
              <w:bottom w:w="95" w:type="dxa"/>
              <w:start w:w="120" w:type="dxa"/>
              <w:end w:w="120" w:type="dxa"/>
            </w:tcMar>
          </w:tcPr>
          <w:p>
            <w:pPr>
              <w:spacing w:before="0" w:after="0" w:line="259" w:lineRule="auto"/>
              <w:jc w:val="left"/>
            </w:pPr>
            <w:r/>
            <w:r>
              <w:rPr>
                <w:rFonts w:ascii="Calibri" w:hAnsi="Calibri"/>
                <w:b/>
                <w:color w:val="0B2545"/>
                <w:sz w:val="17"/>
              </w:rPr>
              <w:t>Bridge</w:t>
            </w:r>
          </w:p>
        </w:tc>
        <w:tc>
          <w:tcPr>
            <w:tcW w:type="dxa" w:w="1800"/>
            <w:shd w:fill="E8EEF5"/>
            <w:vAlign w:val="center"/>
            <w:tcMar>
              <w:top w:w="95" w:type="dxa"/>
              <w:bottom w:w="95" w:type="dxa"/>
              <w:start w:w="120" w:type="dxa"/>
              <w:end w:w="120" w:type="dxa"/>
            </w:tcMar>
          </w:tcPr>
          <w:p>
            <w:pPr>
              <w:spacing w:before="0" w:after="0" w:line="259" w:lineRule="auto"/>
              <w:jc w:val="left"/>
            </w:pPr>
            <w:r/>
            <w:r>
              <w:rPr>
                <w:rFonts w:ascii="Calibri" w:hAnsi="Calibri"/>
                <w:b/>
                <w:color w:val="0B2545"/>
                <w:sz w:val="17"/>
              </w:rPr>
              <w:t>Development layer</w:t>
            </w:r>
          </w:p>
        </w:tc>
        <w:tc>
          <w:tcPr>
            <w:tcW w:type="dxa" w:w="1872"/>
            <w:shd w:fill="E8EEF5"/>
            <w:vAlign w:val="center"/>
            <w:tcMar>
              <w:top w:w="95" w:type="dxa"/>
              <w:bottom w:w="95" w:type="dxa"/>
              <w:start w:w="120" w:type="dxa"/>
              <w:end w:w="120" w:type="dxa"/>
            </w:tcMar>
          </w:tcPr>
          <w:p>
            <w:pPr>
              <w:spacing w:before="0" w:after="0" w:line="259" w:lineRule="auto"/>
              <w:jc w:val="left"/>
            </w:pPr>
            <w:r/>
            <w:r>
              <w:rPr>
                <w:rFonts w:ascii="Calibri" w:hAnsi="Calibri"/>
                <w:b/>
                <w:color w:val="0B2545"/>
                <w:sz w:val="17"/>
              </w:rPr>
              <w:t>Integrated results</w:t>
            </w:r>
          </w:p>
        </w:tc>
      </w:tr>
      <w:tr>
        <w:trPr>
          <w:cantSplit w:val="true"/>
        </w:trPr>
        <w:tc>
          <w:tcPr>
            <w:tcW w:type="dxa" w:w="194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Pathways, target year, levers, geography, data snapshot</w:t>
            </w:r>
          </w:p>
        </w:tc>
        <w:tc>
          <w:tcPr>
            <w:tcW w:type="dxa" w:w="180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Capacity expansion and dispatch</w:t>
            </w:r>
          </w:p>
        </w:tc>
        <w:tc>
          <w:tcPr>
            <w:tcW w:type="dxa" w:w="194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CAPEX, OPEX, fuel, region and sector mapping</w:t>
            </w:r>
          </w:p>
        </w:tc>
        <w:tc>
          <w:tcPr>
            <w:tcW w:type="dxa" w:w="180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Jobs, GVA and income coefficients</w:t>
            </w:r>
          </w:p>
        </w:tc>
        <w:tc>
          <w:tcPr>
            <w:tcW w:type="dxa" w:w="187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Indicators, provenance, quality and downloads</w:t>
            </w:r>
          </w:p>
        </w:tc>
      </w:tr>
    </w:tbl>
    <w:p>
      <w:pPr>
        <w:spacing w:after="40"/>
      </w:pPr>
    </w:p>
    <w:p>
      <w:pPr/>
      <w:r>
        <w:rPr>
          <w:rFonts w:ascii="Calibri" w:hAnsi="Calibri"/>
          <w:i w:val="0"/>
          <w:color w:val="222222"/>
          <w:sz w:val="22"/>
        </w:rPr>
        <w:t>The energy-only architecture ends after energy summaries and diagnostics. The energy-development architecture adds the bridge, development calculation, integrated indicators, and the source-channel comparison. Both use the same run-bundle and artifact contracts so that model execution remains separated from project management, authentication, queueing, and storage.</w:t>
      </w:r>
    </w:p>
    <w:p>
      <w:pPr>
        <w:pStyle w:val="Heading2"/>
        <w:keepNext/>
      </w:pPr>
      <w:r>
        <w:t>2.2 Model boundaries</w:t>
      </w:r>
    </w:p>
    <w:p>
      <w:pPr>
        <w:pStyle w:val="ListBullet"/>
      </w:pPr>
      <w:r>
        <w:rPr>
          <w:rFonts w:ascii="Calibri" w:hAnsi="Calibri"/>
          <w:color w:val="222222"/>
          <w:sz w:val="22"/>
        </w:rPr>
        <w:t>The platform owns users, projects, datasets, run lifecycle, validation requests, reports, exports, and artifact access.</w:t>
      </w:r>
    </w:p>
    <w:p>
      <w:pPr>
        <w:pStyle w:val="ListBullet"/>
      </w:pPr>
      <w:r>
        <w:rPr>
          <w:rFonts w:ascii="Calibri" w:hAnsi="Calibri"/>
          <w:color w:val="222222"/>
          <w:sz w:val="22"/>
        </w:rPr>
        <w:t>The model runtime owns scenario preparation, model execution, scientific diagnostics, and declared analytical artifacts.</w:t>
      </w:r>
    </w:p>
    <w:p>
      <w:pPr>
        <w:pStyle w:val="ListBullet"/>
      </w:pPr>
      <w:r>
        <w:rPr>
          <w:rFonts w:ascii="Calibri" w:hAnsi="Calibri"/>
          <w:color w:val="222222"/>
          <w:sz w:val="22"/>
        </w:rPr>
        <w:t>The architecture and dataset manifests are machine-readable contracts. Interface labels do not create a capability unless the runtime manifest and executable module support it.</w:t>
      </w:r>
    </w:p>
    <w:p>
      <w:pPr>
        <w:pStyle w:val="Heading1"/>
        <w:keepNext/>
      </w:pPr>
      <w:r>
        <w:t>3. Scenario framework, policy levers, and time</w:t>
      </w:r>
    </w:p>
    <w:p>
      <w:pPr>
        <w:pStyle w:val="Heading2"/>
        <w:keepNext/>
      </w:pPr>
      <w:r>
        <w:t>3.1 Energy pathways</w:t>
      </w:r>
    </w:p>
    <w:p>
      <w:pPr/>
      <w:r>
        <w:rPr>
          <w:rFonts w:ascii="Calibri" w:hAnsi="Calibri"/>
          <w:i w:val="0"/>
          <w:color w:val="222222"/>
          <w:sz w:val="22"/>
        </w:rPr>
        <w:t>Energy pathways are defined by Calliope override combinations and enriched with policy-facing labels. Current families combine STEPS or Announced Commitments demand assumptions with existing or expandable generation, existing or expandable transmission, and optional policy constraints. A transmission-only pathway is also available. The exact model changes are determined by the imported override files, not by the display label alone.</w:t>
      </w:r>
    </w:p>
    <w:p>
      <w:pPr>
        <w:pStyle w:val="Heading2"/>
        <w:keepNext/>
      </w:pPr>
      <w:r>
        <w:t>3.2 Development target pathways</w:t>
      </w:r>
    </w:p>
    <w:p>
      <w:pPr/>
      <w:r>
        <w:rPr>
          <w:rFonts w:ascii="Calibri" w:hAnsi="Calibri"/>
          <w:i w:val="0"/>
          <w:color w:val="222222"/>
          <w:sz w:val="22"/>
        </w:rPr>
        <w:t>The development channel uses a separate target scenario, target year, and optional shock-mapping selection. Current African national S1/S2 pathways are generated from structured records. South Africa uses its own record where available; other countries inherit Rest-of-Africa assumptions until country-specific pathways are provided. This is a transparent placeholder mechanism, not a country forecast.</w:t>
      </w:r>
    </w:p>
    <w:p>
      <w:pPr>
        <w:pStyle w:val="Heading2"/>
        <w:keepNext/>
      </w:pPr>
      <w:r>
        <w:t>3.3 Policy levers</w:t>
      </w:r>
    </w:p>
    <w:tbl>
      <w:tblPr>
        <w:tblStyle w:val="TableGrid"/>
        <w:tblW w:type="dxa" w:w="9360"/>
        <w:jc w:val="left"/>
        <w:tblLayout w:type="fixed"/>
        <w:tblLook w:firstColumn="1" w:firstRow="1" w:lastColumn="0" w:lastRow="0" w:noHBand="0" w:noVBand="1" w:val="04A0"/>
        <w:tblInd w:type="dxa" w:w="120"/>
        <w:tblBorders>
          <w:top w:val="single" w:sz="6" w:color="D7DCE2"/>
          <w:left w:val="single" w:sz="6" w:color="D7DCE2"/>
          <w:bottom w:val="single" w:sz="6" w:color="D7DCE2"/>
          <w:right w:val="single" w:sz="6" w:color="D7DCE2"/>
          <w:insideH w:val="single" w:sz="6" w:color="D7DCE2"/>
          <w:insideV w:val="single" w:sz="6" w:color="D7DCE2"/>
        </w:tblBorders>
      </w:tblPr>
      <w:tblGrid>
        <w:gridCol w:w="2016"/>
        <w:gridCol w:w="3816"/>
        <w:gridCol w:w="3528"/>
      </w:tblGrid>
      <w:tr>
        <w:trPr>
          <w:tblHeader w:val="true"/>
          <w:cantSplit w:val="true"/>
        </w:trPr>
        <w:tc>
          <w:tcPr>
            <w:tcW w:type="dxa" w:w="2016"/>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Lever</w:t>
            </w:r>
          </w:p>
        </w:tc>
        <w:tc>
          <w:tcPr>
            <w:tcW w:type="dxa" w:w="3816"/>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Model action</w:t>
            </w:r>
          </w:p>
        </w:tc>
        <w:tc>
          <w:tcPr>
            <w:tcW w:type="dxa" w:w="3528"/>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Review requirement</w:t>
            </w:r>
          </w:p>
        </w:tc>
      </w:tr>
      <w:tr>
        <w:trPr>
          <w:cantSplit w:val="true"/>
        </w:trPr>
        <w:tc>
          <w:tcPr>
            <w:tcW w:type="dxa" w:w="2016"/>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Demand multiplier</w:t>
            </w:r>
          </w:p>
        </w:tc>
        <w:tc>
          <w:tcPr>
            <w:tcW w:type="dxa" w:w="3816"/>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Scales loaded electricity-demand resource values after the Calliope model is built.</w:t>
            </w:r>
          </w:p>
        </w:tc>
        <w:tc>
          <w:tcPr>
            <w:tcW w:type="dxa" w:w="35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Confirm affected demand technologies and annual interpretation.</w:t>
            </w:r>
          </w:p>
        </w:tc>
      </w:tr>
      <w:tr>
        <w:trPr>
          <w:cantSplit w:val="true"/>
        </w:trPr>
        <w:tc>
          <w:tcPr>
            <w:tcW w:type="dxa" w:w="2016"/>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Renewable CAPEX multiplier</w:t>
            </w:r>
          </w:p>
        </w:tc>
        <w:tc>
          <w:tcPr>
            <w:tcW w:type="dxa" w:w="3816"/>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Scales mapped renewable investment cost parameters.</w:t>
            </w:r>
          </w:p>
        </w:tc>
        <w:tc>
          <w:tcPr>
            <w:tcW w:type="dxa" w:w="35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Review technology coverage and reference cost basis.</w:t>
            </w:r>
          </w:p>
        </w:tc>
      </w:tr>
      <w:tr>
        <w:trPr>
          <w:cantSplit w:val="true"/>
        </w:trPr>
        <w:tc>
          <w:tcPr>
            <w:tcW w:type="dxa" w:w="2016"/>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Fossil fuel price multiplier</w:t>
            </w:r>
          </w:p>
        </w:tc>
        <w:tc>
          <w:tcPr>
            <w:tcW w:type="dxa" w:w="3816"/>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Scales mapped fossil-fuel consumption cost parameters.</w:t>
            </w:r>
          </w:p>
        </w:tc>
        <w:tc>
          <w:tcPr>
            <w:tcW w:type="dxa" w:w="35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Review fuel coverage, units, and pass-through assumptions.</w:t>
            </w:r>
          </w:p>
        </w:tc>
      </w:tr>
      <w:tr>
        <w:trPr>
          <w:cantSplit w:val="true"/>
        </w:trPr>
        <w:tc>
          <w:tcPr>
            <w:tcW w:type="dxa" w:w="2016"/>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Carbon price</w:t>
            </w:r>
          </w:p>
        </w:tc>
        <w:tc>
          <w:tcPr>
            <w:tcW w:type="dxa" w:w="3816"/>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Changes the Calliope CO2 objective weight and feeds reporting.</w:t>
            </w:r>
          </w:p>
        </w:tc>
        <w:tc>
          <w:tcPr>
            <w:tcW w:type="dxa" w:w="35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Confirm dimensional consistency between emissions and monetary cost classes.</w:t>
            </w:r>
          </w:p>
        </w:tc>
      </w:tr>
    </w:tbl>
    <w:p>
      <w:pPr>
        <w:spacing w:after="40"/>
      </w:pPr>
    </w:p>
    <w:p>
      <w:pPr>
        <w:pStyle w:val="Heading2"/>
        <w:keepNext/>
      </w:pPr>
      <w:r>
        <w:t>3.4 Year semantics</w:t>
      </w:r>
    </w:p>
    <w:p>
      <w:pPr/>
      <w:r>
        <w:rPr>
          <w:rFonts w:ascii="Calibri" w:hAnsi="Calibri"/>
          <w:i w:val="0"/>
          <w:color w:val="222222"/>
          <w:sz w:val="22"/>
        </w:rPr>
        <w:t>EDIM currently carries several year concepts that are not one dynamic timeline. Calliope time-series coordinates use 2019 timestamps; pathway labels describe 2040 demand assumptions; development targets commonly refer to 2030 or 2050; bridge records are labeled with the selected development target year; and seeded development coefficients generally use a 2019 reference and monetary basis.</w:t>
      </w:r>
    </w:p>
    <w:p>
      <w:pPr>
        <w:spacing w:before="120" w:after="200" w:line="264" w:lineRule="auto"/>
        <w:ind w:left="173" w:right="173"/>
        <w:shd w:fill="FFF7DF"/>
        <w:pBdr>
          <w:top w:val="single" w:sz="8" w:space="6" w:color="7A5A00"/>
          <w:left w:val="single" w:sz="8" w:space="6" w:color="7A5A00"/>
          <w:bottom w:val="single" w:sz="8" w:space="6" w:color="7A5A00"/>
          <w:right w:val="single" w:sz="8" w:space="6" w:color="7A5A00"/>
        </w:pBdr>
      </w:pPr>
      <w:r>
        <w:rPr>
          <w:rFonts w:ascii="Calibri" w:hAnsi="Calibri"/>
          <w:b/>
          <w:color w:val="7A5A00"/>
          <w:sz w:val="20"/>
        </w:rPr>
        <w:t xml:space="preserve">IMPORTANT  </w:t>
      </w:r>
      <w:r>
        <w:rPr>
          <w:rFonts w:ascii="Calibri" w:hAnsi="Calibri"/>
          <w:color w:val="222222"/>
          <w:sz w:val="20"/>
        </w:rPr>
        <w:t>Selecting a development target year does not independently advance or interpolate the energy model. Cross-year claims require an approved relationship between pathway year, weather/profile year, coefficient year, price basis, target year, and any discounting or deflation.</w:t>
      </w:r>
    </w:p>
    <w:p>
      <w:pPr>
        <w:pStyle w:val="Heading1"/>
        <w:keepNext/>
      </w:pPr>
      <w:r>
        <w:t>4. Energy-system methodology</w:t>
      </w:r>
    </w:p>
    <w:p>
      <w:pPr>
        <w:pStyle w:val="Heading2"/>
        <w:keepNext/>
      </w:pPr>
      <w:r>
        <w:t>4.1 Engine and representation</w:t>
      </w:r>
    </w:p>
    <w:p>
      <w:pPr/>
      <w:r>
        <w:rPr>
          <w:rFonts w:ascii="Calibri" w:hAnsi="Calibri"/>
          <w:i w:val="0"/>
          <w:color w:val="222222"/>
          <w:sz w:val="22"/>
        </w:rPr>
        <w:t>The executable energy engine is Calliope 0.6.10 using the bundled Calliope-Africa model. It represents generation, demand, storage, and transmission across national and subnational locations grouped into the CAPP, EAPP, NAPP, SAPP, and WAPP power pools. Technologies, constraints, locations, and links are defined in YAML; hourly demand and renewable-resource profiles are stored in CSV files.</w:t>
      </w:r>
    </w:p>
    <w:p>
      <w:pPr>
        <w:pStyle w:val="Heading2"/>
        <w:keepNext/>
      </w:pPr>
      <w:r>
        <w:t>4.2 Optimization</w:t>
      </w:r>
    </w:p>
    <w:p>
      <w:pPr/>
      <w:r>
        <w:rPr>
          <w:rFonts w:ascii="Calibri" w:hAnsi="Calibri"/>
          <w:i w:val="0"/>
          <w:color w:val="222222"/>
          <w:sz w:val="22"/>
        </w:rPr>
        <w:t>The model runs in planning mode and minimizes a weighted combination of monetary and CO2 cost classes subject to energy balance, technology availability, efficiency, capacity, transmission, storage, and scenario constraints. The base monetary weight is one and the base CO2 weight is zero. A carbon-price lever can change the CO2 weight. Feasibility support is enabled, so unmet demand must be inspected explicitly rather than assuming every solution fully serves demand.</w:t>
      </w:r>
    </w:p>
    <w:p>
      <w:pPr>
        <w:pStyle w:val="Heading2"/>
        <w:keepNext/>
      </w:pPr>
      <w:r>
        <w:t>4.3 Temporal profiles</w:t>
      </w:r>
    </w:p>
    <w:tbl>
      <w:tblPr>
        <w:tblStyle w:val="TableGrid"/>
        <w:tblW w:type="dxa" w:w="9360"/>
        <w:jc w:val="left"/>
        <w:tblLayout w:type="fixed"/>
        <w:tblLook w:firstColumn="1" w:firstRow="1" w:lastColumn="0" w:lastRow="0" w:noHBand="0" w:noVBand="1" w:val="04A0"/>
        <w:tblInd w:type="dxa" w:w="120"/>
        <w:tblBorders>
          <w:top w:val="single" w:sz="6" w:color="D7DCE2"/>
          <w:left w:val="single" w:sz="6" w:color="D7DCE2"/>
          <w:bottom w:val="single" w:sz="6" w:color="D7DCE2"/>
          <w:right w:val="single" w:sz="6" w:color="D7DCE2"/>
          <w:insideH w:val="single" w:sz="6" w:color="D7DCE2"/>
          <w:insideV w:val="single" w:sz="6" w:color="D7DCE2"/>
        </w:tblBorders>
      </w:tblPr>
      <w:tblGrid>
        <w:gridCol w:w="1440"/>
        <w:gridCol w:w="2880"/>
        <w:gridCol w:w="2376"/>
        <w:gridCol w:w="2664"/>
      </w:tblGrid>
      <w:tr>
        <w:trPr>
          <w:tblHeader w:val="true"/>
          <w:cantSplit w:val="true"/>
        </w:trPr>
        <w:tc>
          <w:tcPr>
            <w:tcW w:type="dxa" w:w="1440"/>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Profile</w:t>
            </w:r>
          </w:p>
        </w:tc>
        <w:tc>
          <w:tcPr>
            <w:tcW w:type="dxa" w:w="2880"/>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Time window</w:t>
            </w:r>
          </w:p>
        </w:tc>
        <w:tc>
          <w:tcPr>
            <w:tcW w:type="dxa" w:w="2376"/>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Time limit</w:t>
            </w:r>
          </w:p>
        </w:tc>
        <w:tc>
          <w:tcPr>
            <w:tcW w:type="dxa" w:w="2664"/>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Use</w:t>
            </w:r>
          </w:p>
        </w:tc>
      </w:tr>
      <w:tr>
        <w:trPr>
          <w:cantSplit w:val="true"/>
        </w:trPr>
        <w:tc>
          <w:tcPr>
            <w:tcW w:type="dxa" w:w="144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dev</w:t>
            </w:r>
          </w:p>
        </w:tc>
        <w:tc>
          <w:tcPr>
            <w:tcW w:type="dxa" w:w="288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1-2 January 2019</w:t>
            </w:r>
          </w:p>
        </w:tc>
        <w:tc>
          <w:tcPr>
            <w:tcW w:type="dxa" w:w="2376"/>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3,600-second solver limit</w:t>
            </w:r>
          </w:p>
        </w:tc>
        <w:tc>
          <w:tcPr>
            <w:tcW w:type="dxa" w:w="266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Software and pipeline checks only.</w:t>
            </w:r>
          </w:p>
        </w:tc>
      </w:tr>
      <w:tr>
        <w:trPr>
          <w:cantSplit w:val="true"/>
        </w:trPr>
        <w:tc>
          <w:tcPr>
            <w:tcW w:type="dxa" w:w="1440"/>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analysis</w:t>
            </w:r>
          </w:p>
        </w:tc>
        <w:tc>
          <w:tcPr>
            <w:tcW w:type="dxa" w:w="2880"/>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1 January-31 March 2019</w:t>
            </w:r>
          </w:p>
        </w:tc>
        <w:tc>
          <w:tcPr>
            <w:tcW w:type="dxa" w:w="2376"/>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14,400-second solver limit</w:t>
            </w:r>
          </w:p>
        </w:tc>
        <w:tc>
          <w:tcPr>
            <w:tcW w:type="dxa" w:w="2664"/>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Intermediate analyst review.</w:t>
            </w:r>
          </w:p>
        </w:tc>
      </w:tr>
      <w:tr>
        <w:trPr>
          <w:cantSplit w:val="true"/>
        </w:trPr>
        <w:tc>
          <w:tcPr>
            <w:tcW w:type="dxa" w:w="144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full</w:t>
            </w:r>
          </w:p>
        </w:tc>
        <w:tc>
          <w:tcPr>
            <w:tcW w:type="dxa" w:w="288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Full configured year</w:t>
            </w:r>
          </w:p>
        </w:tc>
        <w:tc>
          <w:tcPr>
            <w:tcW w:type="dxa" w:w="2376"/>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14,400-second runtime process limit</w:t>
            </w:r>
          </w:p>
        </w:tc>
        <w:tc>
          <w:tcPr>
            <w:tcW w:type="dxa" w:w="266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Full-resolution analysis after calibration.</w:t>
            </w:r>
          </w:p>
        </w:tc>
      </w:tr>
    </w:tbl>
    <w:p>
      <w:pPr>
        <w:spacing w:after="40"/>
      </w:pPr>
    </w:p>
    <w:p>
      <w:pPr/>
      <w:r>
        <w:rPr>
          <w:rFonts w:ascii="Calibri" w:hAnsi="Calibri"/>
          <w:i w:val="0"/>
          <w:color w:val="222222"/>
          <w:sz w:val="22"/>
        </w:rPr>
        <w:t>The shortened profiles are temporal samples, not weighted representative periods. Their cost, generation, reliability, and development totals should not be interpreted as annual values or compared directly with full-year outputs.</w:t>
      </w:r>
    </w:p>
    <w:p>
      <w:pPr>
        <w:pStyle w:val="Heading2"/>
        <w:keepNext/>
      </w:pPr>
      <w:r>
        <w:t>4.4 Energy outputs</w:t>
      </w:r>
    </w:p>
    <w:p>
      <w:pPr>
        <w:pStyle w:val="ListBullet"/>
      </w:pPr>
      <w:r>
        <w:rPr>
          <w:rFonts w:ascii="Calibri" w:hAnsi="Calibri"/>
          <w:color w:val="222222"/>
          <w:sz w:val="22"/>
        </w:rPr>
        <w:t>Generation, installed capacity, and new capacity by technology and location.</w:t>
      </w:r>
    </w:p>
    <w:p>
      <w:pPr>
        <w:pStyle w:val="ListBullet"/>
      </w:pPr>
      <w:r>
        <w:rPr>
          <w:rFonts w:ascii="Calibri" w:hAnsi="Calibri"/>
          <w:color w:val="222222"/>
          <w:sz w:val="22"/>
        </w:rPr>
        <w:t>Monetary system costs and CO2 cost-class results.</w:t>
      </w:r>
    </w:p>
    <w:p>
      <w:pPr>
        <w:pStyle w:val="ListBullet"/>
      </w:pPr>
      <w:r>
        <w:rPr>
          <w:rFonts w:ascii="Calibri" w:hAnsi="Calibri"/>
          <w:color w:val="222222"/>
          <w:sz w:val="22"/>
        </w:rPr>
        <w:t>Physical emissions derived from generation and emission factors.</w:t>
      </w:r>
    </w:p>
    <w:p>
      <w:pPr>
        <w:pStyle w:val="ListBullet"/>
      </w:pPr>
      <w:r>
        <w:rPr>
          <w:rFonts w:ascii="Calibri" w:hAnsi="Calibri"/>
          <w:color w:val="222222"/>
          <w:sz w:val="22"/>
        </w:rPr>
        <w:t>Demand, served energy, unmet demand, and unserved-energy share.</w:t>
      </w:r>
    </w:p>
    <w:p>
      <w:pPr>
        <w:pStyle w:val="ListBullet"/>
      </w:pPr>
      <w:r>
        <w:rPr>
          <w:rFonts w:ascii="Calibri" w:hAnsi="Calibri"/>
          <w:color w:val="222222"/>
          <w:sz w:val="22"/>
        </w:rPr>
        <w:t>Transmission and power-pool trade diagnostics.</w:t>
      </w:r>
    </w:p>
    <w:p>
      <w:pPr>
        <w:pStyle w:val="ListBullet"/>
      </w:pPr>
      <w:r>
        <w:rPr>
          <w:rFonts w:ascii="Calibri" w:hAnsi="Calibri"/>
          <w:color w:val="222222"/>
          <w:sz w:val="22"/>
        </w:rPr>
        <w:t>Technology-location monetary components used by the development bridge.</w:t>
      </w:r>
    </w:p>
    <w:p>
      <w:pPr>
        <w:pStyle w:val="Heading2"/>
        <w:keepNext/>
      </w:pPr>
      <w:r>
        <w:t>4.5 Evidence and calibration status</w:t>
      </w:r>
    </w:p>
    <w:p>
      <w:pPr/>
      <w:r>
        <w:rPr>
          <w:rFonts w:ascii="Calibri" w:hAnsi="Calibri"/>
          <w:i w:val="0"/>
          <w:color w:val="222222"/>
          <w:sz w:val="22"/>
        </w:rPr>
        <w:t>The model files include many inline source links, but there is not yet a consolidated source and transformation register covering publisher, version, access date, license, geography, reference year, transformation, imputation, reviewer, and checksum for every parameter and time series. The bundled model README also does not provide a complete calibration or benchmark report. These are blocking gaps for a defensible release.</w:t>
      </w:r>
    </w:p>
    <w:p>
      <w:pPr>
        <w:pStyle w:val="Heading1"/>
        <w:keepNext/>
      </w:pPr>
      <w:r>
        <w:t>5. Energy-to-development bridge</w:t>
      </w:r>
    </w:p>
    <w:p>
      <w:pPr>
        <w:pStyle w:val="Heading2"/>
        <w:keepNext/>
      </w:pPr>
      <w:r>
        <w:t>5.1 Purpose</w:t>
      </w:r>
    </w:p>
    <w:p>
      <w:pPr/>
      <w:r>
        <w:rPr>
          <w:rFonts w:ascii="Calibri" w:hAnsi="Calibri"/>
          <w:i w:val="0"/>
          <w:color w:val="222222"/>
          <w:sz w:val="22"/>
        </w:rPr>
        <w:t>The bridge converts solved energy-system monetary activity into supplier-sector shocks. It uses expenditure and cost components rather than applying employment factors directly to generation. This creates a transparent handoff between the physical energy model and the development calculation.</w:t>
      </w:r>
    </w:p>
    <w:p>
      <w:pPr>
        <w:pStyle w:val="Heading2"/>
        <w:keepNext/>
      </w:pPr>
      <w:r>
        <w:t>5.2 Transformation steps</w:t>
      </w:r>
    </w:p>
    <w:p>
      <w:pPr>
        <w:pStyle w:val="ListNumber"/>
        <w:numPr>
          <w:ilvl w:val="0"/>
          <w:numId w:val="11"/>
        </w:numPr>
      </w:pPr>
      <w:r>
        <w:rPr>
          <w:rFonts w:ascii="Calibri" w:hAnsi="Calibri"/>
          <w:color w:val="222222"/>
          <w:sz w:val="22"/>
        </w:rPr>
        <w:t>Extract technology-location investment, fixed operating, variable operating, and fuel-cost components from the solved energy model.</w:t>
      </w:r>
    </w:p>
    <w:p>
      <w:pPr>
        <w:pStyle w:val="ListNumber"/>
        <w:numPr>
          <w:ilvl w:val="0"/>
          <w:numId w:val="11"/>
        </w:numPr>
      </w:pPr>
      <w:r>
        <w:rPr>
          <w:rFonts w:ascii="Calibri" w:hAnsi="Calibri"/>
          <w:color w:val="222222"/>
          <w:sz w:val="22"/>
        </w:rPr>
        <w:t>Map each location to a power pool and development region.</w:t>
      </w:r>
    </w:p>
    <w:p>
      <w:pPr>
        <w:pStyle w:val="ListNumber"/>
        <w:numPr>
          <w:ilvl w:val="0"/>
          <w:numId w:val="11"/>
        </w:numPr>
      </w:pPr>
      <w:r>
        <w:rPr>
          <w:rFonts w:ascii="Calibri" w:hAnsi="Calibri"/>
          <w:color w:val="222222"/>
          <w:sz w:val="22"/>
        </w:rPr>
        <w:t>Map each technology and cost component to a development supplier sector and shock channel.</w:t>
      </w:r>
    </w:p>
    <w:p>
      <w:pPr>
        <w:pStyle w:val="ListNumber"/>
        <w:numPr>
          <w:ilvl w:val="0"/>
          <w:numId w:val="11"/>
        </w:numPr>
      </w:pPr>
      <w:r>
        <w:rPr>
          <w:rFonts w:ascii="Calibri" w:hAnsi="Calibri"/>
          <w:color w:val="222222"/>
          <w:sz w:val="22"/>
        </w:rPr>
        <w:t>Apply CAPEX or OPEX split shares and normalize matched shares to one.</w:t>
      </w:r>
    </w:p>
    <w:p>
      <w:pPr>
        <w:pStyle w:val="ListNumber"/>
        <w:numPr>
          <w:ilvl w:val="0"/>
          <w:numId w:val="11"/>
        </w:numPr>
      </w:pPr>
      <w:r>
        <w:rPr>
          <w:rFonts w:ascii="Calibri" w:hAnsi="Calibri"/>
          <w:color w:val="222222"/>
          <w:sz w:val="22"/>
        </w:rPr>
        <w:t>Aggregate records by run, scenario, year, region, location, technology, supplier sector, and channel.</w:t>
      </w:r>
    </w:p>
    <w:p>
      <w:pPr>
        <w:pStyle w:val="ListNumber"/>
        <w:numPr>
          <w:ilvl w:val="0"/>
          <w:numId w:val="11"/>
        </w:numPr>
      </w:pPr>
      <w:r>
        <w:rPr>
          <w:rFonts w:ascii="Calibri" w:hAnsi="Calibri"/>
          <w:color w:val="222222"/>
          <w:sz w:val="22"/>
        </w:rPr>
        <w:t>Write investment, operating, price/tax, and service-balance exchange files with diagnostics.</w:t>
      </w:r>
    </w:p>
    <w:p>
      <w:pPr>
        <w:pStyle w:val="Heading2"/>
        <w:keepNext/>
      </w:pPr>
      <w:r>
        <w:t>5.3 Fallbacks and limitations</w:t>
      </w:r>
    </w:p>
    <w:p>
      <w:pPr/>
      <w:r>
        <w:rPr>
          <w:rFonts w:ascii="Calibri" w:hAnsi="Calibri"/>
          <w:i w:val="0"/>
          <w:color w:val="222222"/>
          <w:sz w:val="22"/>
        </w:rPr>
        <w:t>Technology and region mappings are resolved through exact matches, technology wildcards, generic mappings, and built-in default sectors. Missing location mappings produce UNKNOWN regions and warnings. Missing split rows fall back to one default supplier sector. Mapping coverage and fallback shares are retained in the coupling diagnostics.</w:t>
      </w:r>
    </w:p>
    <w:p>
      <w:pPr>
        <w:spacing w:before="120" w:after="200" w:line="264" w:lineRule="auto"/>
        <w:ind w:left="173" w:right="173"/>
        <w:shd w:fill="FCEBEC"/>
        <w:pBdr>
          <w:top w:val="single" w:sz="8" w:space="6" w:color="9B1C1C"/>
          <w:left w:val="single" w:sz="8" w:space="6" w:color="9B1C1C"/>
          <w:bottom w:val="single" w:sz="8" w:space="6" w:color="9B1C1C"/>
          <w:right w:val="single" w:sz="8" w:space="6" w:color="9B1C1C"/>
        </w:pBdr>
      </w:pPr>
      <w:r>
        <w:rPr>
          <w:rFonts w:ascii="Calibri" w:hAnsi="Calibri"/>
          <w:b/>
          <w:color w:val="9B1C1C"/>
          <w:sz w:val="20"/>
        </w:rPr>
        <w:t xml:space="preserve">ACCOUNTING LIMITATION  </w:t>
      </w:r>
      <w:r>
        <w:rPr>
          <w:rFonts w:ascii="Calibri" w:hAnsi="Calibri"/>
          <w:color w:val="222222"/>
          <w:sz w:val="20"/>
        </w:rPr>
        <w:t>The bridge clips non-positive monetary component values to zero. Headline development estimates therefore represent activity supported by positive spending, not a complete net transition account. Contraction, avoided fossil activity, displacement, imports, and stranded assets require an approved gross/net method.</w:t>
      </w:r>
    </w:p>
    <w:p>
      <w:pPr>
        <w:pStyle w:val="Heading1"/>
        <w:keepNext/>
      </w:pPr>
      <w:r>
        <w:t>6. Development impact methodology</w:t>
      </w:r>
    </w:p>
    <w:p>
      <w:pPr>
        <w:pStyle w:val="Heading2"/>
        <w:keepNext/>
      </w:pPr>
      <w:r>
        <w:t>6.1 Current calculation</w:t>
      </w:r>
    </w:p>
    <w:p>
      <w:pPr/>
      <w:r>
        <w:rPr>
          <w:rFonts w:ascii="Calibri" w:hAnsi="Calibri"/>
          <w:i w:val="0"/>
          <w:color w:val="222222"/>
          <w:sz w:val="22"/>
        </w:rPr>
        <w:t>The configured engine is labeled mario, but the current built-in calculation does not load a MARIO database or solve a multiregional input-output system. Instead, it multiplies positive bridge shocks by employment and value-added intensity coefficients for the matched region and supplier sector.</w:t>
      </w:r>
    </w:p>
    <w:p>
      <w:pPr>
        <w:spacing w:before="120" w:after="200" w:line="264" w:lineRule="auto"/>
        <w:ind w:left="173" w:right="173"/>
        <w:shd w:fill="FFF7DF"/>
        <w:pBdr>
          <w:top w:val="single" w:sz="8" w:space="6" w:color="7A5A00"/>
          <w:left w:val="single" w:sz="8" w:space="6" w:color="7A5A00"/>
          <w:bottom w:val="single" w:sz="8" w:space="6" w:color="7A5A00"/>
          <w:right w:val="single" w:sz="8" w:space="6" w:color="7A5A00"/>
        </w:pBdr>
      </w:pPr>
      <w:r>
        <w:rPr>
          <w:rFonts w:ascii="Calibri" w:hAnsi="Calibri"/>
          <w:b/>
          <w:color w:val="7A5A00"/>
          <w:sz w:val="20"/>
        </w:rPr>
        <w:t xml:space="preserve">TERMINOLOGY  </w:t>
      </w:r>
      <w:r>
        <w:rPr>
          <w:rFonts w:ascii="Calibri" w:hAnsi="Calibri"/>
          <w:color w:val="222222"/>
          <w:sz w:val="20"/>
        </w:rPr>
        <w:t>MRIO describes the intended model family and data interface. The present implementation is a coefficient-based development estimator; it does not yet calculate the Leontief inverse, interregional trade propagation, endogenous price effects, supply constraints, household feedbacks, fiscal closure, or dynamic adjustment.</w:t>
      </w:r>
    </w:p>
    <w:p>
      <w:pPr>
        <w:pStyle w:val="Heading2"/>
        <w:keepNext/>
      </w:pPr>
      <w:r>
        <w:t>6.2 Intensity matching</w:t>
      </w:r>
    </w:p>
    <w:p>
      <w:pPr/>
      <w:r>
        <w:rPr>
          <w:rFonts w:ascii="Calibri" w:hAnsi="Calibri"/>
          <w:i w:val="0"/>
          <w:color w:val="222222"/>
          <w:sz w:val="22"/>
        </w:rPr>
        <w:t>Coefficients are selected by exact region-sector match, then region mean, then global mean, and finally a zero/default record. The runtime reports match counts. Any fallback to a mean reduces spatial and sector specificity and should be treated as a calibration issue.</w:t>
      </w:r>
    </w:p>
    <w:p>
      <w:pPr>
        <w:pStyle w:val="Heading2"/>
        <w:keepNext/>
      </w:pPr>
      <w:r>
        <w:t>6.3 Uncertainty</w:t>
      </w:r>
    </w:p>
    <w:p>
      <w:pPr/>
      <w:r>
        <w:rPr>
          <w:rFonts w:ascii="Calibri" w:hAnsi="Calibri"/>
          <w:i w:val="0"/>
          <w:color w:val="222222"/>
          <w:sz w:val="22"/>
        </w:rPr>
        <w:t>Current uncertainty bands apply a symmetric configured percentage around aggregate development totals. The default is plus or minus 12 percent for jobs, GVA, and household-income metrics. These are scenario bands, not empirically estimated confidence intervals and not a propagation of input or structural uncertainty.</w:t>
      </w:r>
    </w:p>
    <w:p>
      <w:pPr>
        <w:pStyle w:val="Heading2"/>
        <w:keepNext/>
      </w:pPr>
      <w:r>
        <w:t>6.4 MRIO-direct scenario channel</w:t>
      </w:r>
    </w:p>
    <w:p>
      <w:pPr/>
      <w:r>
        <w:rPr>
          <w:rFonts w:ascii="Calibri" w:hAnsi="Calibri"/>
          <w:i w:val="0"/>
          <w:color w:val="222222"/>
          <w:sz w:val="22"/>
        </w:rPr>
        <w:t>A second channel translates structured policy targets into heuristic shocks. It derives fossil reductions and renewable gains from percentage targets, allocates renewable gains across power-asset construction, electrical equipment, and transmission, and scales development effects using output-intensity ratios inferred from the bridge. It is tagged as a heuristic and is retained for source comparison.</w:t>
      </w:r>
    </w:p>
    <w:p>
      <w:pPr>
        <w:pStyle w:val="Heading2"/>
        <w:keepNext/>
      </w:pPr>
      <w:r>
        <w:t>6.5 Headline selection and overlap</w:t>
      </w:r>
    </w:p>
    <w:p>
      <w:pPr/>
      <w:r>
        <w:rPr>
          <w:rFonts w:ascii="Calibri" w:hAnsi="Calibri"/>
          <w:i w:val="0"/>
          <w:color w:val="222222"/>
          <w:sz w:val="22"/>
        </w:rPr>
        <w:t>Bridge-derived values are used for headline selected totals. An unadjusted sum of bridge and MRIO-direct values is retained only as a diagnostic combined total. This prevents the heuristic channel from silently double counting the same transition activity, but a formal channel ownership and reconciliation method is still required.</w:t>
      </w:r>
    </w:p>
    <w:p>
      <w:pPr>
        <w:pStyle w:val="Heading1"/>
        <w:keepNext/>
      </w:pPr>
      <w:r>
        <w:t>7. Integrated indicators and interpretation</w:t>
      </w:r>
    </w:p>
    <w:p>
      <w:pPr>
        <w:pStyle w:val="Heading2"/>
        <w:keepNext/>
      </w:pPr>
      <w:r>
        <w:t>7.1 Current indicators</w:t>
      </w:r>
    </w:p>
    <w:tbl>
      <w:tblPr>
        <w:tblStyle w:val="TableGrid"/>
        <w:tblW w:type="dxa" w:w="9360"/>
        <w:jc w:val="left"/>
        <w:tblLayout w:type="fixed"/>
        <w:tblLook w:firstColumn="1" w:firstRow="1" w:lastColumn="0" w:lastRow="0" w:noHBand="0" w:noVBand="1" w:val="04A0"/>
        <w:tblInd w:type="dxa" w:w="120"/>
        <w:tblBorders>
          <w:top w:val="single" w:sz="6" w:color="D7DCE2"/>
          <w:left w:val="single" w:sz="6" w:color="D7DCE2"/>
          <w:bottom w:val="single" w:sz="6" w:color="D7DCE2"/>
          <w:right w:val="single" w:sz="6" w:color="D7DCE2"/>
          <w:insideH w:val="single" w:sz="6" w:color="D7DCE2"/>
          <w:insideV w:val="single" w:sz="6" w:color="D7DCE2"/>
        </w:tblBorders>
      </w:tblPr>
      <w:tblGrid>
        <w:gridCol w:w="1944"/>
        <w:gridCol w:w="3672"/>
        <w:gridCol w:w="3744"/>
      </w:tblGrid>
      <w:tr>
        <w:trPr>
          <w:tblHeader w:val="true"/>
          <w:cantSplit w:val="true"/>
        </w:trPr>
        <w:tc>
          <w:tcPr>
            <w:tcW w:type="dxa" w:w="1944"/>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7"/>
              </w:rPr>
              <w:t>Indicator</w:t>
            </w:r>
          </w:p>
        </w:tc>
        <w:tc>
          <w:tcPr>
            <w:tcW w:type="dxa" w:w="3672"/>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7"/>
              </w:rPr>
              <w:t>Current derivation</w:t>
            </w:r>
          </w:p>
        </w:tc>
        <w:tc>
          <w:tcPr>
            <w:tcW w:type="dxa" w:w="3744"/>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7"/>
              </w:rPr>
              <w:t>Interpretation limit</w:t>
            </w:r>
          </w:p>
        </w:tc>
      </w:tr>
      <w:tr>
        <w:trPr>
          <w:cantSplit w:val="true"/>
        </w:trPr>
        <w:tc>
          <w:tcPr>
            <w:tcW w:type="dxa" w:w="194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Jobs</w:t>
            </w:r>
          </w:p>
        </w:tc>
        <w:tc>
          <w:tcPr>
            <w:tcW w:type="dxa" w:w="367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Positive bridge shock multiplied by employment intensity.</w:t>
            </w:r>
          </w:p>
        </w:tc>
        <w:tc>
          <w:tcPr>
            <w:tcW w:type="dxa" w:w="374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Spending-supported estimate; seeded factors; not a net employment forecast.</w:t>
            </w:r>
          </w:p>
        </w:tc>
      </w:tr>
      <w:tr>
        <w:trPr>
          <w:cantSplit w:val="true"/>
        </w:trPr>
        <w:tc>
          <w:tcPr>
            <w:tcW w:type="dxa" w:w="1944"/>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Gross value added</w:t>
            </w:r>
          </w:p>
        </w:tc>
        <w:tc>
          <w:tcPr>
            <w:tcW w:type="dxa" w:w="367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Positive bridge shock multiplied by value-added intensity.</w:t>
            </w:r>
          </w:p>
        </w:tc>
        <w:tc>
          <w:tcPr>
            <w:tcW w:type="dxa" w:w="3744"/>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Coefficient estimate, not an endogenous economy-wide response.</w:t>
            </w:r>
          </w:p>
        </w:tc>
      </w:tr>
      <w:tr>
        <w:trPr>
          <w:cantSplit w:val="true"/>
        </w:trPr>
        <w:tc>
          <w:tcPr>
            <w:tcW w:type="dxa" w:w="194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Household income</w:t>
            </w:r>
          </w:p>
        </w:tc>
        <w:tc>
          <w:tcPr>
            <w:tcW w:type="dxa" w:w="367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Positive bridge shock multiplied by income-share intensity.</w:t>
            </w:r>
          </w:p>
        </w:tc>
        <w:tc>
          <w:tcPr>
            <w:tcW w:type="dxa" w:w="374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Proxy, not a household distribution model.</w:t>
            </w:r>
          </w:p>
        </w:tc>
      </w:tr>
      <w:tr>
        <w:trPr>
          <w:cantSplit w:val="true"/>
        </w:trPr>
        <w:tc>
          <w:tcPr>
            <w:tcW w:type="dxa" w:w="1944"/>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Import leakage</w:t>
            </w:r>
          </w:p>
        </w:tc>
        <w:tc>
          <w:tcPr>
            <w:tcW w:type="dxa" w:w="367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Fixed supplier-name heuristic applied to positive shocks.</w:t>
            </w:r>
          </w:p>
        </w:tc>
        <w:tc>
          <w:tcPr>
            <w:tcW w:type="dxa" w:w="3744"/>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Not calculated from an import-use or trade matrix.</w:t>
            </w:r>
          </w:p>
        </w:tc>
      </w:tr>
      <w:tr>
        <w:trPr>
          <w:cantSplit w:val="true"/>
        </w:trPr>
        <w:tc>
          <w:tcPr>
            <w:tcW w:type="dxa" w:w="194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Reliability</w:t>
            </w:r>
          </w:p>
        </w:tc>
        <w:tc>
          <w:tcPr>
            <w:tcW w:type="dxa" w:w="367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Unserved energy and share from Calliope diagnostics.</w:t>
            </w:r>
          </w:p>
        </w:tc>
        <w:tc>
          <w:tcPr>
            <w:tcW w:type="dxa" w:w="374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Sensitive to profile, feasibility settings, and VOLL assumptions.</w:t>
            </w:r>
          </w:p>
        </w:tc>
      </w:tr>
      <w:tr>
        <w:trPr>
          <w:cantSplit w:val="true"/>
        </w:trPr>
        <w:tc>
          <w:tcPr>
            <w:tcW w:type="dxa" w:w="1944"/>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System cost</w:t>
            </w:r>
          </w:p>
        </w:tc>
        <w:tc>
          <w:tcPr>
            <w:tcW w:type="dxa" w:w="367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Sum of Calliope monetary cost records.</w:t>
            </w:r>
          </w:p>
        </w:tc>
        <w:tc>
          <w:tcPr>
            <w:tcW w:type="dxa" w:w="3744"/>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Requires unit, annualization, and price-basis review.</w:t>
            </w:r>
          </w:p>
        </w:tc>
      </w:tr>
      <w:tr>
        <w:trPr>
          <w:cantSplit w:val="true"/>
        </w:trPr>
        <w:tc>
          <w:tcPr>
            <w:tcW w:type="dxa" w:w="194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Carbon burden</w:t>
            </w:r>
          </w:p>
        </w:tc>
        <w:tc>
          <w:tcPr>
            <w:tcW w:type="dxa" w:w="367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Physical emissions multiplied by selected carbon price.</w:t>
            </w:r>
          </w:p>
        </w:tc>
        <w:tc>
          <w:tcPr>
            <w:tcW w:type="dxa" w:w="374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Reporting proxy, not a welfare measure.</w:t>
            </w:r>
          </w:p>
        </w:tc>
      </w:tr>
    </w:tbl>
    <w:p>
      <w:pPr>
        <w:spacing w:after="40"/>
      </w:pPr>
    </w:p>
    <w:p>
      <w:pPr>
        <w:pStyle w:val="Heading2"/>
        <w:keepNext/>
      </w:pPr>
      <w:r>
        <w:t>7.2 Comparing scenarios responsibly</w:t>
      </w:r>
    </w:p>
    <w:p>
      <w:pPr>
        <w:pStyle w:val="ListBullet"/>
      </w:pPr>
      <w:r>
        <w:rPr>
          <w:rFonts w:ascii="Calibri" w:hAnsi="Calibri"/>
          <w:color w:val="222222"/>
          <w:sz w:val="22"/>
        </w:rPr>
        <w:t>Compare runs only when architecture, profile, time window, geography, solver settings, dataset versions, price basis, and baseline are compatible.</w:t>
      </w:r>
    </w:p>
    <w:p>
      <w:pPr>
        <w:pStyle w:val="ListBullet"/>
      </w:pPr>
      <w:r>
        <w:rPr>
          <w:rFonts w:ascii="Calibri" w:hAnsi="Calibri"/>
          <w:color w:val="222222"/>
          <w:sz w:val="22"/>
        </w:rPr>
        <w:t>Use differences and ranges before absolute precision, especially for development metrics.</w:t>
      </w:r>
    </w:p>
    <w:p>
      <w:pPr>
        <w:pStyle w:val="ListBullet"/>
      </w:pPr>
      <w:r>
        <w:rPr>
          <w:rFonts w:ascii="Calibri" w:hAnsi="Calibri"/>
          <w:color w:val="222222"/>
          <w:sz w:val="22"/>
        </w:rPr>
        <w:t>Inspect source channels, mapping fallbacks, warning counts, and metric-resolution metadata before interpreting a chart or headline.</w:t>
      </w:r>
    </w:p>
    <w:p>
      <w:pPr>
        <w:pStyle w:val="ListBullet"/>
      </w:pPr>
      <w:r>
        <w:rPr>
          <w:rFonts w:ascii="Calibri" w:hAnsi="Calibri"/>
          <w:color w:val="222222"/>
          <w:sz w:val="22"/>
        </w:rPr>
        <w:t>Do not present global results as country estimates merely because a country is selected in the interface.</w:t>
      </w:r>
    </w:p>
    <w:p>
      <w:pPr>
        <w:pStyle w:val="ListBullet"/>
      </w:pPr>
      <w:r>
        <w:rPr>
          <w:rFonts w:ascii="Calibri" w:hAnsi="Calibri"/>
          <w:color w:val="222222"/>
          <w:sz w:val="22"/>
        </w:rPr>
        <w:t>Treat combined development totals as diagnostic until overlap rules are approved.</w:t>
      </w:r>
    </w:p>
    <w:p>
      <w:pPr>
        <w:pStyle w:val="Heading1"/>
        <w:keepNext/>
      </w:pPr>
      <w:r>
        <w:t>8. Data, provenance, and readiness</w:t>
      </w:r>
    </w:p>
    <w:p>
      <w:pPr>
        <w:pStyle w:val="Heading2"/>
        <w:keepNext/>
      </w:pPr>
      <w:r>
        <w:t>8.1 Data governance principle</w:t>
      </w:r>
    </w:p>
    <w:p>
      <w:pPr/>
      <w:r>
        <w:rPr>
          <w:rFonts w:ascii="Calibri" w:hAnsi="Calibri"/>
          <w:i w:val="0"/>
          <w:color w:val="222222"/>
          <w:sz w:val="22"/>
        </w:rPr>
        <w:t>Every submitted run snapshots its scenario package, model manifest, dataset manifest, artifact policy, and dataset-version references. These records make the run reproducible at the platform boundary. Scientific reproducibility additionally requires complete source, transformation, unit, classification, uncertainty, and review metadata for each input.</w:t>
      </w:r>
    </w:p>
    <w:p>
      <w:pPr>
        <w:pStyle w:val="Heading2"/>
        <w:keepNext/>
      </w:pPr>
      <w:r>
        <w:t>8.2 Readiness by dataset group</w:t>
      </w:r>
    </w:p>
    <w:tbl>
      <w:tblPr>
        <w:tblStyle w:val="TableGrid"/>
        <w:tblW w:type="dxa" w:w="9360"/>
        <w:jc w:val="left"/>
        <w:tblLayout w:type="fixed"/>
        <w:tblLook w:firstColumn="1" w:firstRow="1" w:lastColumn="0" w:lastRow="0" w:noHBand="0" w:noVBand="1" w:val="04A0"/>
        <w:tblInd w:type="dxa" w:w="120"/>
        <w:tblBorders>
          <w:top w:val="single" w:sz="6" w:color="D7DCE2"/>
          <w:left w:val="single" w:sz="6" w:color="D7DCE2"/>
          <w:bottom w:val="single" w:sz="6" w:color="D7DCE2"/>
          <w:right w:val="single" w:sz="6" w:color="D7DCE2"/>
          <w:insideH w:val="single" w:sz="6" w:color="D7DCE2"/>
          <w:insideV w:val="single" w:sz="6" w:color="D7DCE2"/>
        </w:tblBorders>
      </w:tblPr>
      <w:tblGrid>
        <w:gridCol w:w="2592"/>
        <w:gridCol w:w="3240"/>
        <w:gridCol w:w="3528"/>
      </w:tblGrid>
      <w:tr>
        <w:trPr>
          <w:tblHeader w:val="true"/>
          <w:cantSplit w:val="true"/>
        </w:trPr>
        <w:tc>
          <w:tcPr>
            <w:tcW w:type="dxa" w:w="2592"/>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7"/>
              </w:rPr>
              <w:t>Dataset group</w:t>
            </w:r>
          </w:p>
        </w:tc>
        <w:tc>
          <w:tcPr>
            <w:tcW w:type="dxa" w:w="3240"/>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7"/>
              </w:rPr>
              <w:t>Current state</w:t>
            </w:r>
          </w:p>
        </w:tc>
        <w:tc>
          <w:tcPr>
            <w:tcW w:type="dxa" w:w="3528"/>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7"/>
              </w:rPr>
              <w:t>Readiness action</w:t>
            </w:r>
          </w:p>
        </w:tc>
      </w:tr>
      <w:tr>
        <w:trPr>
          <w:cantSplit w:val="true"/>
        </w:trPr>
        <w:tc>
          <w:tcPr>
            <w:tcW w:type="dxa" w:w="259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Calliope definitions and time series</w:t>
            </w:r>
          </w:p>
        </w:tc>
        <w:tc>
          <w:tcPr>
            <w:tcW w:type="dxa" w:w="324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Executable; sources partly documented inline.</w:t>
            </w:r>
          </w:p>
        </w:tc>
        <w:tc>
          <w:tcPr>
            <w:tcW w:type="dxa" w:w="35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Complete source register, QA, calibration, licensing, and benchmark report.</w:t>
            </w:r>
          </w:p>
        </w:tc>
      </w:tr>
      <w:tr>
        <w:trPr>
          <w:cantSplit w:val="true"/>
        </w:trPr>
        <w:tc>
          <w:tcPr>
            <w:tcW w:type="dxa" w:w="259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Energy scenarios and levers</w:t>
            </w:r>
          </w:p>
        </w:tc>
        <w:tc>
          <w:tcPr>
            <w:tcW w:type="dxa" w:w="3240"/>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11 scenario records and data-driven technology mappings.</w:t>
            </w:r>
          </w:p>
        </w:tc>
        <w:tc>
          <w:tcPr>
            <w:tcW w:type="dxa" w:w="35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Policy meaning, defaults, units, and technology coverage require sign-off.</w:t>
            </w:r>
          </w:p>
        </w:tc>
      </w:tr>
      <w:tr>
        <w:trPr>
          <w:cantSplit w:val="true"/>
        </w:trPr>
        <w:tc>
          <w:tcPr>
            <w:tcW w:type="dxa" w:w="259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Structured development scenarios</w:t>
            </w:r>
          </w:p>
        </w:tc>
        <w:tc>
          <w:tcPr>
            <w:tcW w:type="dxa" w:w="324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71 target rows; many national pathways inherit regional assumptions.</w:t>
            </w:r>
          </w:p>
        </w:tc>
        <w:tc>
          <w:tcPr>
            <w:tcW w:type="dxa" w:w="35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Replace inherited pathways with country-owned, cited scenarios.</w:t>
            </w:r>
          </w:p>
        </w:tc>
      </w:tr>
      <w:tr>
        <w:trPr>
          <w:cantSplit w:val="true"/>
        </w:trPr>
        <w:tc>
          <w:tcPr>
            <w:tcW w:type="dxa" w:w="259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Geography mappings</w:t>
            </w:r>
          </w:p>
        </w:tc>
        <w:tc>
          <w:tcPr>
            <w:tcW w:type="dxa" w:w="3240"/>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58 scenario mapping rows and 55 country/pool rows.</w:t>
            </w:r>
          </w:p>
        </w:tc>
        <w:tc>
          <w:tcPr>
            <w:tcW w:type="dxa" w:w="35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Resolve all locations, remove UNKNOWN outcomes, and approve concordance.</w:t>
            </w:r>
          </w:p>
        </w:tc>
      </w:tr>
      <w:tr>
        <w:trPr>
          <w:cantSplit w:val="true"/>
        </w:trPr>
        <w:tc>
          <w:tcPr>
            <w:tcW w:type="dxa" w:w="259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Technology/sector and expenditure splits</w:t>
            </w:r>
          </w:p>
        </w:tc>
        <w:tc>
          <w:tcPr>
            <w:tcW w:type="dxa" w:w="324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Seed mappings: 9 technology rows, 5 CAPEX rows, 11 OPEX/fuel rows.</w:t>
            </w:r>
          </w:p>
        </w:tc>
        <w:tc>
          <w:tcPr>
            <w:tcW w:type="dxa" w:w="35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Align with selected MRIO accounts and calibrate region/technology shares.</w:t>
            </w:r>
          </w:p>
        </w:tc>
      </w:tr>
      <w:tr>
        <w:trPr>
          <w:cantSplit w:val="true"/>
        </w:trPr>
        <w:tc>
          <w:tcPr>
            <w:tcW w:type="dxa" w:w="259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Employment intensity</w:t>
            </w:r>
          </w:p>
        </w:tc>
        <w:tc>
          <w:tcPr>
            <w:tcW w:type="dxa" w:w="3240"/>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50 seeded rows covering 5 regions x 10 sectors.</w:t>
            </w:r>
          </w:p>
        </w:tc>
        <w:tc>
          <w:tcPr>
            <w:tcW w:type="dxa" w:w="35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Replace all placeholders with cited, reviewed coefficients.</w:t>
            </w:r>
          </w:p>
        </w:tc>
      </w:tr>
      <w:tr>
        <w:trPr>
          <w:cantSplit w:val="true"/>
        </w:trPr>
        <w:tc>
          <w:tcPr>
            <w:tcW w:type="dxa" w:w="259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Value-added intensity</w:t>
            </w:r>
          </w:p>
        </w:tc>
        <w:tc>
          <w:tcPr>
            <w:tcW w:type="dxa" w:w="324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50 seeded rows covering 5 regions x 10 sectors.</w:t>
            </w:r>
          </w:p>
        </w:tc>
        <w:tc>
          <w:tcPr>
            <w:tcW w:type="dxa" w:w="35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Replace all placeholders with cited, reviewed coefficients.</w:t>
            </w:r>
          </w:p>
        </w:tc>
      </w:tr>
      <w:tr>
        <w:trPr>
          <w:cantSplit w:val="true"/>
        </w:trPr>
        <w:tc>
          <w:tcPr>
            <w:tcW w:type="dxa" w:w="259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Scenario assumptions</w:t>
            </w:r>
          </w:p>
        </w:tc>
        <w:tc>
          <w:tcPr>
            <w:tcW w:type="dxa" w:w="3240"/>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72 seeded rows.</w:t>
            </w:r>
          </w:p>
        </w:tc>
        <w:tc>
          <w:tcPr>
            <w:tcW w:type="dxa" w:w="35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Replace matched assumptions with scenario- and year-specific evidence.</w:t>
            </w:r>
          </w:p>
        </w:tc>
      </w:tr>
      <w:tr>
        <w:trPr>
          <w:cantSplit w:val="true"/>
        </w:trPr>
        <w:tc>
          <w:tcPr>
            <w:tcW w:type="dxa" w:w="259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Indicator mapping</w:t>
            </w:r>
          </w:p>
        </w:tc>
        <w:tc>
          <w:tcPr>
            <w:tcW w:type="dxa" w:w="3240"/>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7 technically supported indicators.</w:t>
            </w:r>
          </w:p>
        </w:tc>
        <w:tc>
          <w:tcPr>
            <w:tcW w:type="dxa" w:w="35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Approve definitions, units, aggregation, and public claims.</w:t>
            </w:r>
          </w:p>
        </w:tc>
      </w:tr>
      <w:tr>
        <w:trPr>
          <w:cantSplit w:val="true"/>
        </w:trPr>
        <w:tc>
          <w:tcPr>
            <w:tcW w:type="dxa" w:w="259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Geospatial display data</w:t>
            </w:r>
          </w:p>
        </w:tc>
        <w:tc>
          <w:tcPr>
            <w:tcW w:type="dxa" w:w="3240"/>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Country polygons plus placeholder subnational centroids.</w:t>
            </w:r>
          </w:p>
        </w:tc>
        <w:tc>
          <w:tcPr>
            <w:tcW w:type="dxa" w:w="35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7"/>
              </w:rPr>
              <w:t>Use authoritative boundaries where subnational claims are made.</w:t>
            </w:r>
          </w:p>
        </w:tc>
      </w:tr>
    </w:tbl>
    <w:p>
      <w:pPr>
        <w:spacing w:after="40"/>
      </w:pPr>
    </w:p>
    <w:p>
      <w:pPr>
        <w:pStyle w:val="Heading2"/>
        <w:keepNext/>
      </w:pPr>
      <w:r>
        <w:t>8.3 Minimum metadata for policy-grade data</w:t>
      </w:r>
    </w:p>
    <w:p>
      <w:pPr>
        <w:pStyle w:val="ListBullet"/>
      </w:pPr>
      <w:r>
        <w:rPr>
          <w:rFonts w:ascii="Calibri" w:hAnsi="Calibri"/>
          <w:color w:val="222222"/>
          <w:sz w:val="22"/>
        </w:rPr>
        <w:t>Named owner and independent reviewer.</w:t>
      </w:r>
    </w:p>
    <w:p>
      <w:pPr>
        <w:pStyle w:val="ListBullet"/>
      </w:pPr>
      <w:r>
        <w:rPr>
          <w:rFonts w:ascii="Calibri" w:hAnsi="Calibri"/>
          <w:color w:val="222222"/>
          <w:sz w:val="22"/>
        </w:rPr>
        <w:t>Source title, publisher, identifier or link, license, version, and access date.</w:t>
      </w:r>
    </w:p>
    <w:p>
      <w:pPr>
        <w:pStyle w:val="ListBullet"/>
      </w:pPr>
      <w:r>
        <w:rPr>
          <w:rFonts w:ascii="Calibri" w:hAnsi="Calibri"/>
          <w:color w:val="222222"/>
          <w:sz w:val="22"/>
        </w:rPr>
        <w:t>Reference year, currency, price basis, and units.</w:t>
      </w:r>
    </w:p>
    <w:p>
      <w:pPr>
        <w:pStyle w:val="ListBullet"/>
      </w:pPr>
      <w:r>
        <w:rPr>
          <w:rFonts w:ascii="Calibri" w:hAnsi="Calibri"/>
          <w:color w:val="222222"/>
          <w:sz w:val="22"/>
        </w:rPr>
        <w:t>Geographic and sector classification with concordance version.</w:t>
      </w:r>
    </w:p>
    <w:p>
      <w:pPr>
        <w:pStyle w:val="ListBullet"/>
      </w:pPr>
      <w:r>
        <w:rPr>
          <w:rFonts w:ascii="Calibri" w:hAnsi="Calibri"/>
          <w:color w:val="222222"/>
          <w:sz w:val="22"/>
        </w:rPr>
        <w:t>Transformation, scaling, imputation, and quality-control method.</w:t>
      </w:r>
    </w:p>
    <w:p>
      <w:pPr>
        <w:pStyle w:val="ListBullet"/>
      </w:pPr>
      <w:r>
        <w:rPr>
          <w:rFonts w:ascii="Calibri" w:hAnsi="Calibri"/>
          <w:color w:val="222222"/>
          <w:sz w:val="22"/>
        </w:rPr>
        <w:t>Uncertainty or quality rating, checksum, and effective model version.</w:t>
      </w:r>
    </w:p>
    <w:p>
      <w:pPr>
        <w:pStyle w:val="Heading1"/>
        <w:keepNext/>
      </w:pPr>
      <w:r>
        <w:t>9. Validation and model governance</w:t>
      </w:r>
    </w:p>
    <w:p>
      <w:pPr>
        <w:pStyle w:val="Heading2"/>
        <w:keepNext/>
      </w:pPr>
      <w:r>
        <w:t>9.1 Preflight checks</w:t>
      </w:r>
    </w:p>
    <w:p>
      <w:pPr>
        <w:pStyle w:val="ListBullet"/>
      </w:pPr>
      <w:r>
        <w:rPr>
          <w:rFonts w:ascii="Calibri" w:hAnsi="Calibri"/>
          <w:color w:val="222222"/>
          <w:sz w:val="22"/>
        </w:rPr>
        <w:t>Selected architecture and model-module support.</w:t>
      </w:r>
    </w:p>
    <w:p>
      <w:pPr>
        <w:pStyle w:val="ListBullet"/>
      </w:pPr>
      <w:r>
        <w:rPr>
          <w:rFonts w:ascii="Calibri" w:hAnsi="Calibri"/>
          <w:color w:val="222222"/>
          <w:sz w:val="22"/>
        </w:rPr>
        <w:t>Calliope model, scenario, solver, and required input availability.</w:t>
      </w:r>
    </w:p>
    <w:p>
      <w:pPr>
        <w:pStyle w:val="ListBullet"/>
      </w:pPr>
      <w:r>
        <w:rPr>
          <w:rFonts w:ascii="Calibri" w:hAnsi="Calibri"/>
          <w:color w:val="222222"/>
          <w:sz w:val="22"/>
        </w:rPr>
        <w:t>Dataset schema and staged-version readiness.</w:t>
      </w:r>
    </w:p>
    <w:p>
      <w:pPr>
        <w:pStyle w:val="ListBullet"/>
      </w:pPr>
      <w:r>
        <w:rPr>
          <w:rFonts w:ascii="Calibri" w:hAnsi="Calibri"/>
          <w:color w:val="222222"/>
          <w:sz w:val="22"/>
        </w:rPr>
        <w:t>Technology, geography, supplier-sector, and split-share coverage.</w:t>
      </w:r>
    </w:p>
    <w:p>
      <w:pPr>
        <w:pStyle w:val="ListBullet"/>
      </w:pPr>
      <w:r>
        <w:rPr>
          <w:rFonts w:ascii="Calibri" w:hAnsi="Calibri"/>
          <w:color w:val="222222"/>
          <w:sz w:val="22"/>
        </w:rPr>
        <w:t>Placeholder status in expert-owned development datasets.</w:t>
      </w:r>
    </w:p>
    <w:p>
      <w:pPr>
        <w:pStyle w:val="ListBullet"/>
      </w:pPr>
      <w:r>
        <w:rPr>
          <w:rFonts w:ascii="Calibri" w:hAnsi="Calibri"/>
          <w:color w:val="222222"/>
          <w:sz w:val="22"/>
        </w:rPr>
        <w:t>Queue capacity and runtime settings.</w:t>
      </w:r>
    </w:p>
    <w:p>
      <w:pPr>
        <w:pStyle w:val="Heading2"/>
        <w:keepNext/>
      </w:pPr>
      <w:r>
        <w:t>9.2 Strict validation</w:t>
      </w:r>
    </w:p>
    <w:p>
      <w:pPr/>
      <w:r>
        <w:rPr>
          <w:rFonts w:ascii="Calibri" w:hAnsi="Calibri"/>
          <w:i w:val="0"/>
          <w:color w:val="222222"/>
          <w:sz w:val="22"/>
        </w:rPr>
        <w:t>Analysis and full profiles enforce strict validation. Unless placeholder use is explicitly permitted, the runtime blocks known placeholder employment and value-added tables and matched placeholder scenario assumptions. This is a useful release control, but it does not replace scientific review of non-placeholder values.</w:t>
      </w:r>
    </w:p>
    <w:p>
      <w:pPr>
        <w:pStyle w:val="Heading2"/>
        <w:keepNext/>
      </w:pPr>
      <w:r>
        <w:t>9.3 Post-run quality</w:t>
      </w:r>
    </w:p>
    <w:p>
      <w:pPr/>
      <w:r>
        <w:rPr>
          <w:rFonts w:ascii="Calibri" w:hAnsi="Calibri"/>
          <w:i w:val="0"/>
          <w:color w:val="222222"/>
          <w:sz w:val="22"/>
        </w:rPr>
        <w:t>Each integrated run reports model quality, mapping coverage, fallback shares, unknown mappings, intensity-match tiers, heuristic-channel use, unavailable indicators, reliability warnings, uncertainty, and metric resolution. A succeeded status means the executable contract completed and structural checks passed; it does not mean the model has been scientifically certified.</w:t>
      </w:r>
    </w:p>
    <w:p>
      <w:pPr>
        <w:pStyle w:val="Heading2"/>
        <w:keepNext/>
      </w:pPr>
      <w:r>
        <w:t>9.4 Governance roles</w:t>
      </w:r>
    </w:p>
    <w:tbl>
      <w:tblPr>
        <w:tblStyle w:val="TableGrid"/>
        <w:tblW w:type="dxa" w:w="9360"/>
        <w:jc w:val="left"/>
        <w:tblLayout w:type="fixed"/>
        <w:tblLook w:firstColumn="1" w:firstRow="1" w:lastColumn="0" w:lastRow="0" w:noHBand="0" w:noVBand="1" w:val="04A0"/>
        <w:tblInd w:type="dxa" w:w="120"/>
        <w:tblBorders>
          <w:top w:val="single" w:sz="6" w:color="D7DCE2"/>
          <w:left w:val="single" w:sz="6" w:color="D7DCE2"/>
          <w:bottom w:val="single" w:sz="6" w:color="D7DCE2"/>
          <w:right w:val="single" w:sz="6" w:color="D7DCE2"/>
          <w:insideH w:val="single" w:sz="6" w:color="D7DCE2"/>
          <w:insideV w:val="single" w:sz="6" w:color="D7DCE2"/>
        </w:tblBorders>
      </w:tblPr>
      <w:tblGrid>
        <w:gridCol w:w="2232"/>
        <w:gridCol w:w="7128"/>
      </w:tblGrid>
      <w:tr>
        <w:trPr>
          <w:tblHeader w:val="true"/>
          <w:cantSplit w:val="true"/>
        </w:trPr>
        <w:tc>
          <w:tcPr>
            <w:tcW w:type="dxa" w:w="2232"/>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Role</w:t>
            </w:r>
          </w:p>
        </w:tc>
        <w:tc>
          <w:tcPr>
            <w:tcW w:type="dxa" w:w="7128"/>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Core responsibility</w:t>
            </w:r>
          </w:p>
        </w:tc>
      </w:tr>
      <w:tr>
        <w:trPr>
          <w:cantSplit w:val="true"/>
        </w:trPr>
        <w:tc>
          <w:tcPr>
            <w:tcW w:type="dxa" w:w="223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Policy owner</w:t>
            </w:r>
          </w:p>
        </w:tc>
        <w:tc>
          <w:tcPr>
            <w:tcW w:type="dxa" w:w="71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Approves decision questions, scenario narratives, intended claims, and communication boundaries.</w:t>
            </w:r>
          </w:p>
        </w:tc>
      </w:tr>
      <w:tr>
        <w:trPr>
          <w:cantSplit w:val="true"/>
        </w:trPr>
        <w:tc>
          <w:tcPr>
            <w:tcW w:type="dxa" w:w="223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Energy-model lead</w:t>
            </w:r>
          </w:p>
        </w:tc>
        <w:tc>
          <w:tcPr>
            <w:tcW w:type="dxa" w:w="71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Owns Calliope structure, data, calibration, scenario configuration, and energy validation.</w:t>
            </w:r>
          </w:p>
        </w:tc>
      </w:tr>
      <w:tr>
        <w:trPr>
          <w:cantSplit w:val="true"/>
        </w:trPr>
        <w:tc>
          <w:tcPr>
            <w:tcW w:type="dxa" w:w="223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Development-model lead</w:t>
            </w:r>
          </w:p>
        </w:tc>
        <w:tc>
          <w:tcPr>
            <w:tcW w:type="dxa" w:w="71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Owns MRIO database, shock method, closures, multipliers, uncertainty, and interpretation.</w:t>
            </w:r>
          </w:p>
        </w:tc>
      </w:tr>
      <w:tr>
        <w:trPr>
          <w:cantSplit w:val="true"/>
        </w:trPr>
        <w:tc>
          <w:tcPr>
            <w:tcW w:type="dxa" w:w="223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Data steward</w:t>
            </w:r>
          </w:p>
        </w:tc>
        <w:tc>
          <w:tcPr>
            <w:tcW w:type="dxa" w:w="71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Owns source registry, versions, licenses, transformations, classifications, and checksums.</w:t>
            </w:r>
          </w:p>
        </w:tc>
      </w:tr>
      <w:tr>
        <w:trPr>
          <w:cantSplit w:val="true"/>
        </w:trPr>
        <w:tc>
          <w:tcPr>
            <w:tcW w:type="dxa" w:w="223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Independent reviewer</w:t>
            </w:r>
          </w:p>
        </w:tc>
        <w:tc>
          <w:tcPr>
            <w:tcW w:type="dxa" w:w="71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Reproduces benchmark results and challenges assumptions, mappings, and claims.</w:t>
            </w:r>
          </w:p>
        </w:tc>
      </w:tr>
      <w:tr>
        <w:trPr>
          <w:cantSplit w:val="true"/>
        </w:trPr>
        <w:tc>
          <w:tcPr>
            <w:tcW w:type="dxa" w:w="223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Platform owner</w:t>
            </w:r>
          </w:p>
        </w:tc>
        <w:tc>
          <w:tcPr>
            <w:tcW w:type="dxa" w:w="71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Maintains contracts, reproducible execution, access control, storage, and release records.</w:t>
            </w:r>
          </w:p>
        </w:tc>
      </w:tr>
    </w:tbl>
    <w:p>
      <w:pPr>
        <w:spacing w:after="40"/>
      </w:pPr>
    </w:p>
    <w:p>
      <w:pPr>
        <w:pStyle w:val="Heading1"/>
        <w:keepNext/>
      </w:pPr>
      <w:r>
        <w:t>10. Remaining gaps and work programme</w:t>
      </w:r>
    </w:p>
    <w:p>
      <w:pPr>
        <w:pStyle w:val="Heading2"/>
        <w:keepNext/>
      </w:pPr>
      <w:r>
        <w:t>10.1 Priority 0 - blocks policy-grade development claims</w:t>
      </w:r>
    </w:p>
    <w:tbl>
      <w:tblPr>
        <w:tblStyle w:val="TableGrid"/>
        <w:tblW w:type="dxa" w:w="9360"/>
        <w:jc w:val="left"/>
        <w:tblLayout w:type="fixed"/>
        <w:tblLook w:firstColumn="1" w:firstRow="1" w:lastColumn="0" w:lastRow="0" w:noHBand="0" w:noVBand="1" w:val="04A0"/>
        <w:tblInd w:type="dxa" w:w="120"/>
        <w:tblBorders>
          <w:top w:val="single" w:sz="6" w:color="D7DCE2"/>
          <w:left w:val="single" w:sz="6" w:color="D7DCE2"/>
          <w:bottom w:val="single" w:sz="6" w:color="D7DCE2"/>
          <w:right w:val="single" w:sz="6" w:color="D7DCE2"/>
          <w:insideH w:val="single" w:sz="6" w:color="D7DCE2"/>
          <w:insideV w:val="single" w:sz="6" w:color="D7DCE2"/>
        </w:tblBorders>
      </w:tblPr>
      <w:tblGrid>
        <w:gridCol w:w="2952"/>
        <w:gridCol w:w="6408"/>
      </w:tblGrid>
      <w:tr>
        <w:trPr>
          <w:tblHeader w:val="true"/>
          <w:cantSplit w:val="true"/>
        </w:trPr>
        <w:tc>
          <w:tcPr>
            <w:tcW w:type="dxa" w:w="2952"/>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Gap</w:t>
            </w:r>
          </w:p>
        </w:tc>
        <w:tc>
          <w:tcPr>
            <w:tcW w:type="dxa" w:w="6408"/>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Acceptance criterion</w:t>
            </w:r>
          </w:p>
        </w:tc>
      </w:tr>
      <w:tr>
        <w:trPr>
          <w:cantSplit w:val="true"/>
        </w:trPr>
        <w:tc>
          <w:tcPr>
            <w:tcW w:type="dxa" w:w="295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Placeholder development intensities</w:t>
            </w:r>
          </w:p>
        </w:tc>
        <w:tc>
          <w:tcPr>
            <w:tcW w:type="dxa" w:w="640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All active region-sector pairs use cited, reviewed factors with unit, reference year, and uncertainty metadata; strict preflight passes without placeholder allowance.</w:t>
            </w:r>
          </w:p>
        </w:tc>
      </w:tr>
      <w:tr>
        <w:trPr>
          <w:cantSplit w:val="true"/>
        </w:trPr>
        <w:tc>
          <w:tcPr>
            <w:tcW w:type="dxa" w:w="295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No full MRIO solve</w:t>
            </w:r>
          </w:p>
        </w:tc>
        <w:tc>
          <w:tcPr>
            <w:tcW w:type="dxa" w:w="640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A licensed database, reproducible baseline and shock solve, approved classifications, and independent result reproduction are in place.</w:t>
            </w:r>
          </w:p>
        </w:tc>
      </w:tr>
      <w:tr>
        <w:trPr>
          <w:cantSplit w:val="true"/>
        </w:trPr>
        <w:tc>
          <w:tcPr>
            <w:tcW w:type="dxa" w:w="295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Country scenario inheritance</w:t>
            </w:r>
          </w:p>
        </w:tc>
        <w:tc>
          <w:tcPr>
            <w:tcW w:type="dxa" w:w="640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Country-specific pathways are approved or a documented regionalization method with uncertainty is accepted.</w:t>
            </w:r>
          </w:p>
        </w:tc>
      </w:tr>
      <w:tr>
        <w:trPr>
          <w:cantSplit w:val="true"/>
        </w:trPr>
        <w:tc>
          <w:tcPr>
            <w:tcW w:type="dxa" w:w="295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Energy provenance and calibration</w:t>
            </w:r>
          </w:p>
        </w:tc>
        <w:tc>
          <w:tcPr>
            <w:tcW w:type="dxa" w:w="640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A versioned source register, QA report, calibration targets, and benchmark comparison are approved.</w:t>
            </w:r>
          </w:p>
        </w:tc>
      </w:tr>
      <w:tr>
        <w:trPr>
          <w:cantSplit w:val="true"/>
        </w:trPr>
        <w:tc>
          <w:tcPr>
            <w:tcW w:type="dxa" w:w="295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Monetary-unit chain</w:t>
            </w:r>
          </w:p>
        </w:tc>
        <w:tc>
          <w:tcPr>
            <w:tcW w:type="dxa" w:w="640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Currency, price year, scaling, annualization, discounting, and sign convention reconcile from Calliope component to development shock.</w:t>
            </w:r>
          </w:p>
        </w:tc>
      </w:tr>
    </w:tbl>
    <w:p>
      <w:pPr>
        <w:spacing w:after="40"/>
      </w:pPr>
    </w:p>
    <w:p>
      <w:pPr>
        <w:pStyle w:val="Heading2"/>
        <w:keepNext/>
      </w:pPr>
      <w:r>
        <w:t>10.2 Priority 1 - required for robust comparative analysis</w:t>
      </w:r>
    </w:p>
    <w:tbl>
      <w:tblPr>
        <w:tblStyle w:val="TableGrid"/>
        <w:tblW w:type="dxa" w:w="9360"/>
        <w:jc w:val="left"/>
        <w:tblLayout w:type="fixed"/>
        <w:tblLook w:firstColumn="1" w:firstRow="1" w:lastColumn="0" w:lastRow="0" w:noHBand="0" w:noVBand="1" w:val="04A0"/>
        <w:tblInd w:type="dxa" w:w="120"/>
        <w:tblBorders>
          <w:top w:val="single" w:sz="6" w:color="D7DCE2"/>
          <w:left w:val="single" w:sz="6" w:color="D7DCE2"/>
          <w:bottom w:val="single" w:sz="6" w:color="D7DCE2"/>
          <w:right w:val="single" w:sz="6" w:color="D7DCE2"/>
          <w:insideH w:val="single" w:sz="6" w:color="D7DCE2"/>
          <w:insideV w:val="single" w:sz="6" w:color="D7DCE2"/>
        </w:tblBorders>
      </w:tblPr>
      <w:tblGrid>
        <w:gridCol w:w="2952"/>
        <w:gridCol w:w="6408"/>
      </w:tblGrid>
      <w:tr>
        <w:trPr>
          <w:tblHeader w:val="true"/>
          <w:cantSplit w:val="true"/>
        </w:trPr>
        <w:tc>
          <w:tcPr>
            <w:tcW w:type="dxa" w:w="2952"/>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Gap</w:t>
            </w:r>
          </w:p>
        </w:tc>
        <w:tc>
          <w:tcPr>
            <w:tcW w:type="dxa" w:w="6408"/>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Acceptance criterion</w:t>
            </w:r>
          </w:p>
        </w:tc>
      </w:tr>
      <w:tr>
        <w:trPr>
          <w:cantSplit w:val="true"/>
        </w:trPr>
        <w:tc>
          <w:tcPr>
            <w:tcW w:type="dxa" w:w="295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Negative and avoided activity</w:t>
            </w:r>
          </w:p>
        </w:tc>
        <w:tc>
          <w:tcPr>
            <w:tcW w:type="dxa" w:w="640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Approved gross/net accounting represents gains, losses, displacement, imports, and stranded activity.</w:t>
            </w:r>
          </w:p>
        </w:tc>
      </w:tr>
      <w:tr>
        <w:trPr>
          <w:cantSplit w:val="true"/>
        </w:trPr>
        <w:tc>
          <w:tcPr>
            <w:tcW w:type="dxa" w:w="295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Scenario overlap</w:t>
            </w:r>
          </w:p>
        </w:tc>
        <w:tc>
          <w:tcPr>
            <w:tcW w:type="dxa" w:w="640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Formal channel ownership and reconciliation replace the unadjusted diagnostic sum.</w:t>
            </w:r>
          </w:p>
        </w:tc>
      </w:tr>
      <w:tr>
        <w:trPr>
          <w:cantSplit w:val="true"/>
        </w:trPr>
        <w:tc>
          <w:tcPr>
            <w:tcW w:type="dxa" w:w="295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Temporal comparability</w:t>
            </w:r>
          </w:p>
        </w:tc>
        <w:tc>
          <w:tcPr>
            <w:tcW w:type="dxa" w:w="640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Full-year runs or validated representative-period weights support annual reporting.</w:t>
            </w:r>
          </w:p>
        </w:tc>
      </w:tr>
      <w:tr>
        <w:trPr>
          <w:cantSplit w:val="true"/>
        </w:trPr>
        <w:tc>
          <w:tcPr>
            <w:tcW w:type="dxa" w:w="295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Uncertainty</w:t>
            </w:r>
          </w:p>
        </w:tc>
        <w:tc>
          <w:tcPr>
            <w:tcW w:type="dxa" w:w="640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Documented parameter distributions or scenario ranges are propagated with a defined interval interpretation.</w:t>
            </w:r>
          </w:p>
        </w:tc>
      </w:tr>
      <w:tr>
        <w:trPr>
          <w:cantSplit w:val="true"/>
        </w:trPr>
        <w:tc>
          <w:tcPr>
            <w:tcW w:type="dxa" w:w="295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Baseline comparison</w:t>
            </w:r>
          </w:p>
        </w:tc>
        <w:tc>
          <w:tcPr>
            <w:tcW w:type="dxa" w:w="640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A canonical compatible baseline and differencing protocol are implemented and tested.</w:t>
            </w:r>
          </w:p>
        </w:tc>
      </w:tr>
      <w:tr>
        <w:trPr>
          <w:cantSplit w:val="true"/>
        </w:trPr>
        <w:tc>
          <w:tcPr>
            <w:tcW w:type="dxa" w:w="295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Import and reliability proxies</w:t>
            </w:r>
          </w:p>
        </w:tc>
        <w:tc>
          <w:tcPr>
            <w:tcW w:type="dxa" w:w="640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Methods use reviewed import data and VOLL evidence with sensitivity analysis.</w:t>
            </w:r>
          </w:p>
        </w:tc>
      </w:tr>
    </w:tbl>
    <w:p>
      <w:pPr>
        <w:spacing w:after="40"/>
      </w:pPr>
    </w:p>
    <w:p>
      <w:pPr>
        <w:pStyle w:val="Heading2"/>
        <w:keepNext/>
      </w:pPr>
      <w:r>
        <w:t>10.3 Priority 2 - governance and extension</w:t>
      </w:r>
    </w:p>
    <w:p>
      <w:pPr>
        <w:pStyle w:val="ListBullet"/>
      </w:pPr>
      <w:r>
        <w:rPr>
          <w:rFonts w:ascii="Calibri" w:hAnsi="Calibri"/>
          <w:color w:val="222222"/>
          <w:sz w:val="22"/>
        </w:rPr>
        <w:t>Golden scenarios, accounting identities, regression tolerances, and expected warnings run in continuous integration.</w:t>
      </w:r>
    </w:p>
    <w:p>
      <w:pPr>
        <w:pStyle w:val="ListBullet"/>
      </w:pPr>
      <w:r>
        <w:rPr>
          <w:rFonts w:ascii="Calibri" w:hAnsi="Calibri"/>
          <w:color w:val="222222"/>
          <w:sz w:val="22"/>
        </w:rPr>
        <w:t>Technology, sector, geography, and indicator concordances have named owners and controlled versions.</w:t>
      </w:r>
    </w:p>
    <w:p>
      <w:pPr>
        <w:pStyle w:val="ListBullet"/>
      </w:pPr>
      <w:r>
        <w:rPr>
          <w:rFonts w:ascii="Calibri" w:hAnsi="Calibri"/>
          <w:color w:val="222222"/>
          <w:sz w:val="22"/>
        </w:rPr>
        <w:t>Every result records code, model, data, solver, and parameter versions with checksums.</w:t>
      </w:r>
    </w:p>
    <w:p>
      <w:pPr>
        <w:pStyle w:val="ListBullet"/>
      </w:pPr>
      <w:r>
        <w:rPr>
          <w:rFonts w:ascii="Calibri" w:hAnsi="Calibri"/>
          <w:color w:val="222222"/>
          <w:sz w:val="22"/>
        </w:rPr>
        <w:t>Authoritative boundaries replace placeholder spatial geometry where subnational claims are made.</w:t>
      </w:r>
    </w:p>
    <w:p>
      <w:pPr>
        <w:pStyle w:val="ListBullet"/>
      </w:pPr>
      <w:r>
        <w:rPr>
          <w:rFonts w:ascii="Calibri" w:hAnsi="Calibri"/>
          <w:color w:val="222222"/>
          <w:sz w:val="22"/>
        </w:rPr>
        <w:t>OSeMOSYS remains disabled until an executable package, adapters, mappings, and benchmark suite pass the same contract.</w:t>
      </w:r>
    </w:p>
    <w:p>
      <w:pPr>
        <w:pStyle w:val="Heading2"/>
        <w:keepNext/>
      </w:pPr>
      <w:r>
        <w:t>10.4 Recommended sequence</w:t>
      </w:r>
    </w:p>
    <w:p>
      <w:pPr>
        <w:pStyle w:val="ListNumber"/>
        <w:numPr>
          <w:ilvl w:val="0"/>
          <w:numId w:val="12"/>
        </w:numPr>
      </w:pPr>
      <w:r>
        <w:rPr>
          <w:rFonts w:ascii="Calibri" w:hAnsi="Calibri"/>
          <w:color w:val="222222"/>
          <w:sz w:val="22"/>
        </w:rPr>
        <w:t>Agree decision questions, baselines, scenarios, and permitted policy claims.</w:t>
      </w:r>
    </w:p>
    <w:p>
      <w:pPr>
        <w:pStyle w:val="ListNumber"/>
        <w:numPr>
          <w:ilvl w:val="0"/>
          <w:numId w:val="12"/>
        </w:numPr>
      </w:pPr>
      <w:r>
        <w:rPr>
          <w:rFonts w:ascii="Calibri" w:hAnsi="Calibri"/>
          <w:color w:val="222222"/>
          <w:sz w:val="22"/>
        </w:rPr>
        <w:t>Freeze units, price basis, reference years, annualization, and net-impact conventions.</w:t>
      </w:r>
    </w:p>
    <w:p>
      <w:pPr>
        <w:pStyle w:val="ListNumber"/>
        <w:numPr>
          <w:ilvl w:val="0"/>
          <w:numId w:val="12"/>
        </w:numPr>
      </w:pPr>
      <w:r>
        <w:rPr>
          <w:rFonts w:ascii="Calibri" w:hAnsi="Calibri"/>
          <w:color w:val="222222"/>
          <w:sz w:val="22"/>
        </w:rPr>
        <w:t>Audit and calibrate Calliope; publish benchmark results.</w:t>
      </w:r>
    </w:p>
    <w:p>
      <w:pPr>
        <w:pStyle w:val="ListNumber"/>
        <w:numPr>
          <w:ilvl w:val="0"/>
          <w:numId w:val="12"/>
        </w:numPr>
      </w:pPr>
      <w:r>
        <w:rPr>
          <w:rFonts w:ascii="Calibri" w:hAnsi="Calibri"/>
          <w:color w:val="222222"/>
          <w:sz w:val="22"/>
        </w:rPr>
        <w:t>Select the MRIO database and approve sector/geography concordances.</w:t>
      </w:r>
    </w:p>
    <w:p>
      <w:pPr>
        <w:pStyle w:val="ListNumber"/>
        <w:numPr>
          <w:ilvl w:val="0"/>
          <w:numId w:val="12"/>
        </w:numPr>
      </w:pPr>
      <w:r>
        <w:rPr>
          <w:rFonts w:ascii="Calibri" w:hAnsi="Calibri"/>
          <w:color w:val="222222"/>
          <w:sz w:val="22"/>
        </w:rPr>
        <w:t>Replace employment, value-added, and scenario placeholders.</w:t>
      </w:r>
    </w:p>
    <w:p>
      <w:pPr>
        <w:pStyle w:val="ListNumber"/>
        <w:numPr>
          <w:ilvl w:val="0"/>
          <w:numId w:val="12"/>
        </w:numPr>
      </w:pPr>
      <w:r>
        <w:rPr>
          <w:rFonts w:ascii="Calibri" w:hAnsi="Calibri"/>
          <w:color w:val="222222"/>
          <w:sz w:val="22"/>
        </w:rPr>
        <w:t>Validate the bridge against hand-calculated examples and accounting totals.</w:t>
      </w:r>
    </w:p>
    <w:p>
      <w:pPr>
        <w:pStyle w:val="ListNumber"/>
        <w:numPr>
          <w:ilvl w:val="0"/>
          <w:numId w:val="12"/>
        </w:numPr>
      </w:pPr>
      <w:r>
        <w:rPr>
          <w:rFonts w:ascii="Calibri" w:hAnsi="Calibri"/>
          <w:color w:val="222222"/>
          <w:sz w:val="22"/>
        </w:rPr>
        <w:t>Implement and independently reproduce the MRIO solve.</w:t>
      </w:r>
    </w:p>
    <w:p>
      <w:pPr>
        <w:pStyle w:val="ListNumber"/>
        <w:numPr>
          <w:ilvl w:val="0"/>
          <w:numId w:val="12"/>
        </w:numPr>
      </w:pPr>
      <w:r>
        <w:rPr>
          <w:rFonts w:ascii="Calibri" w:hAnsi="Calibri"/>
          <w:color w:val="222222"/>
          <w:sz w:val="22"/>
        </w:rPr>
        <w:t>Define overlap, displacement, import, and loss treatment.</w:t>
      </w:r>
    </w:p>
    <w:p>
      <w:pPr>
        <w:pStyle w:val="ListNumber"/>
        <w:numPr>
          <w:ilvl w:val="0"/>
          <w:numId w:val="12"/>
        </w:numPr>
      </w:pPr>
      <w:r>
        <w:rPr>
          <w:rFonts w:ascii="Calibri" w:hAnsi="Calibri"/>
          <w:color w:val="222222"/>
          <w:sz w:val="22"/>
        </w:rPr>
        <w:t>Propagate uncertainty and complete sensitivity analysis.</w:t>
      </w:r>
    </w:p>
    <w:p>
      <w:pPr>
        <w:pStyle w:val="ListNumber"/>
        <w:numPr>
          <w:ilvl w:val="0"/>
          <w:numId w:val="12"/>
        </w:numPr>
      </w:pPr>
      <w:r>
        <w:rPr>
          <w:rFonts w:ascii="Calibri" w:hAnsi="Calibri"/>
          <w:color w:val="222222"/>
          <w:sz w:val="22"/>
        </w:rPr>
        <w:t>Approve indicators, public language, and release governance.</w:t>
      </w:r>
    </w:p>
    <w:p>
      <w:pPr>
        <w:pStyle w:val="Heading1"/>
        <w:keepNext/>
      </w:pPr>
      <w:r>
        <w:t>Appendix A. Technical methods and equations</w:t>
      </w:r>
    </w:p>
    <w:p>
      <w:pPr>
        <w:pStyle w:val="Heading2"/>
        <w:keepNext/>
      </w:pPr>
      <w:r>
        <w:t>A.1 Energy objective</w:t>
      </w:r>
    </w:p>
    <w:p>
      <w:pPr/>
      <w:r>
        <w:rPr>
          <w:rFonts w:ascii="Calibri" w:hAnsi="Calibri"/>
          <w:i w:val="0"/>
          <w:color w:val="222222"/>
          <w:sz w:val="22"/>
        </w:rPr>
        <w:t>The planning model minimizes the weighted sum of monetary and CO2 cost components subject to model constraints:</w:t>
      </w:r>
    </w:p>
    <w:p>
      <w:pPr>
        <w:spacing w:before="120" w:after="200" w:line="264" w:lineRule="auto"/>
        <w:ind w:left="173" w:right="173"/>
        <w:shd w:fill="E8EEF5"/>
        <w:pBdr>
          <w:top w:val="single" w:sz="8" w:space="6" w:color="2E74B5"/>
          <w:left w:val="single" w:sz="8" w:space="6" w:color="2E74B5"/>
          <w:bottom w:val="single" w:sz="8" w:space="6" w:color="2E74B5"/>
          <w:right w:val="single" w:sz="8" w:space="6" w:color="2E74B5"/>
        </w:pBdr>
      </w:pPr>
      <w:r>
        <w:rPr>
          <w:rFonts w:ascii="Calibri" w:hAnsi="Calibri"/>
          <w:b/>
          <w:color w:val="2E74B5"/>
          <w:sz w:val="20"/>
        </w:rPr>
        <w:t xml:space="preserve">ENERGY OBJECTIVE  </w:t>
      </w:r>
      <w:r>
        <w:rPr>
          <w:rFonts w:ascii="Calibri" w:hAnsi="Calibri"/>
          <w:color w:val="222222"/>
          <w:sz w:val="20"/>
        </w:rPr>
        <w:t>minimize  sum(monetary cost components x monetary weight) + sum(CO2 cost components x CO2 weight)</w:t>
      </w:r>
    </w:p>
    <w:p>
      <w:pPr/>
      <w:r>
        <w:rPr>
          <w:rFonts w:ascii="Calibri" w:hAnsi="Calibri"/>
          <w:i w:val="0"/>
          <w:color w:val="222222"/>
          <w:sz w:val="22"/>
        </w:rPr>
        <w:t>The base weights are monetary = 1 and CO2 = 0. The carbon-price lever changes the CO2 weight. Dimensional consistency must be confirmed before interpreting the weight as a monetary carbon price.</w:t>
      </w:r>
    </w:p>
    <w:p>
      <w:pPr>
        <w:pStyle w:val="Heading2"/>
        <w:keepNext/>
      </w:pPr>
      <w:r>
        <w:t>A.2 Bridge transformation</w:t>
      </w:r>
    </w:p>
    <w:p>
      <w:pPr>
        <w:spacing w:before="120" w:after="200" w:line="264" w:lineRule="auto"/>
        <w:ind w:left="173" w:right="173"/>
        <w:shd w:fill="E8EEF5"/>
        <w:pBdr>
          <w:top w:val="single" w:sz="8" w:space="6" w:color="2E74B5"/>
          <w:left w:val="single" w:sz="8" w:space="6" w:color="2E74B5"/>
          <w:bottom w:val="single" w:sz="8" w:space="6" w:color="2E74B5"/>
          <w:right w:val="single" w:sz="8" w:space="6" w:color="2E74B5"/>
        </w:pBdr>
      </w:pPr>
      <w:r>
        <w:rPr>
          <w:rFonts w:ascii="Calibri" w:hAnsi="Calibri"/>
          <w:b/>
          <w:color w:val="2E74B5"/>
          <w:sz w:val="20"/>
        </w:rPr>
        <w:t xml:space="preserve">SUPPLIER SHOCK  </w:t>
      </w:r>
      <w:r>
        <w:rPr>
          <w:rFonts w:ascii="Calibri" w:hAnsi="Calibri"/>
          <w:color w:val="222222"/>
          <w:sz w:val="20"/>
        </w:rPr>
        <w:t>shock[c,s] = max(component_value[c], 0) x normalized_split_share[c,s]</w:t>
      </w:r>
    </w:p>
    <w:p>
      <w:pPr/>
      <w:r>
        <w:rPr>
          <w:rFonts w:ascii="Calibri" w:hAnsi="Calibri"/>
          <w:i w:val="0"/>
          <w:color w:val="222222"/>
          <w:sz w:val="22"/>
        </w:rPr>
        <w:t>Here c is a technology-location monetary component and s is a supplier sector. Component values are converted to million USD by dividing the extracted monetary result by one million. This conversion requires explicit unit verification against the Calliope source result.</w:t>
      </w:r>
    </w:p>
    <w:p>
      <w:pPr>
        <w:pStyle w:val="Heading2"/>
        <w:keepNext/>
      </w:pPr>
      <w:r>
        <w:t>A.3 Development coefficients</w:t>
      </w:r>
    </w:p>
    <w:p>
      <w:pPr>
        <w:spacing w:before="120" w:after="200" w:line="264" w:lineRule="auto"/>
        <w:ind w:left="173" w:right="173"/>
        <w:shd w:fill="E8EEF5"/>
        <w:pBdr>
          <w:top w:val="single" w:sz="8" w:space="6" w:color="2E74B5"/>
          <w:left w:val="single" w:sz="8" w:space="6" w:color="2E74B5"/>
          <w:bottom w:val="single" w:sz="8" w:space="6" w:color="2E74B5"/>
          <w:right w:val="single" w:sz="8" w:space="6" w:color="2E74B5"/>
        </w:pBdr>
      </w:pPr>
      <w:r>
        <w:rPr>
          <w:rFonts w:ascii="Calibri" w:hAnsi="Calibri"/>
          <w:b/>
          <w:color w:val="2E74B5"/>
          <w:sz w:val="20"/>
        </w:rPr>
        <w:t xml:space="preserve">EQUATION  </w:t>
      </w:r>
      <w:r>
        <w:rPr>
          <w:rFonts w:ascii="Calibri" w:hAnsi="Calibri"/>
          <w:color w:val="222222"/>
          <w:sz w:val="20"/>
        </w:rPr>
        <w:t>jobs_direct[r,s] = shock_musd[r,s] x jobs_per_musd_direct[r,s]</w:t>
      </w:r>
    </w:p>
    <w:p>
      <w:pPr>
        <w:spacing w:before="120" w:after="200" w:line="264" w:lineRule="auto"/>
        <w:ind w:left="173" w:right="173"/>
        <w:shd w:fill="E8EEF5"/>
        <w:pBdr>
          <w:top w:val="single" w:sz="8" w:space="6" w:color="2E74B5"/>
          <w:left w:val="single" w:sz="8" w:space="6" w:color="2E74B5"/>
          <w:bottom w:val="single" w:sz="8" w:space="6" w:color="2E74B5"/>
          <w:right w:val="single" w:sz="8" w:space="6" w:color="2E74B5"/>
        </w:pBdr>
      </w:pPr>
      <w:r>
        <w:rPr>
          <w:rFonts w:ascii="Calibri" w:hAnsi="Calibri"/>
          <w:b/>
          <w:color w:val="2E74B5"/>
          <w:sz w:val="20"/>
        </w:rPr>
        <w:t xml:space="preserve">EQUATION  </w:t>
      </w:r>
      <w:r>
        <w:rPr>
          <w:rFonts w:ascii="Calibri" w:hAnsi="Calibri"/>
          <w:color w:val="222222"/>
          <w:sz w:val="20"/>
        </w:rPr>
        <w:t>jobs_total[r,s] = shock_musd[r,s] x jobs_per_musd_total[r,s]</w:t>
      </w:r>
    </w:p>
    <w:p>
      <w:pPr>
        <w:spacing w:before="120" w:after="200" w:line="264" w:lineRule="auto"/>
        <w:ind w:left="173" w:right="173"/>
        <w:shd w:fill="E8EEF5"/>
        <w:pBdr>
          <w:top w:val="single" w:sz="8" w:space="6" w:color="2E74B5"/>
          <w:left w:val="single" w:sz="8" w:space="6" w:color="2E74B5"/>
          <w:bottom w:val="single" w:sz="8" w:space="6" w:color="2E74B5"/>
          <w:right w:val="single" w:sz="8" w:space="6" w:color="2E74B5"/>
        </w:pBdr>
      </w:pPr>
      <w:r>
        <w:rPr>
          <w:rFonts w:ascii="Calibri" w:hAnsi="Calibri"/>
          <w:b/>
          <w:color w:val="2E74B5"/>
          <w:sz w:val="20"/>
        </w:rPr>
        <w:t xml:space="preserve">EQUATION  </w:t>
      </w:r>
      <w:r>
        <w:rPr>
          <w:rFonts w:ascii="Calibri" w:hAnsi="Calibri"/>
          <w:color w:val="222222"/>
          <w:sz w:val="20"/>
        </w:rPr>
        <w:t>gva_musd[r,s] = shock_musd[r,s] x gva_per_musd_output[r,s]</w:t>
      </w:r>
    </w:p>
    <w:p>
      <w:pPr>
        <w:spacing w:before="120" w:after="200" w:line="264" w:lineRule="auto"/>
        <w:ind w:left="173" w:right="173"/>
        <w:shd w:fill="E8EEF5"/>
        <w:pBdr>
          <w:top w:val="single" w:sz="8" w:space="6" w:color="2E74B5"/>
          <w:left w:val="single" w:sz="8" w:space="6" w:color="2E74B5"/>
          <w:bottom w:val="single" w:sz="8" w:space="6" w:color="2E74B5"/>
          <w:right w:val="single" w:sz="8" w:space="6" w:color="2E74B5"/>
        </w:pBdr>
      </w:pPr>
      <w:r>
        <w:rPr>
          <w:rFonts w:ascii="Calibri" w:hAnsi="Calibri"/>
          <w:b/>
          <w:color w:val="2E74B5"/>
          <w:sz w:val="20"/>
        </w:rPr>
        <w:t xml:space="preserve">EQUATION  </w:t>
      </w:r>
      <w:r>
        <w:rPr>
          <w:rFonts w:ascii="Calibri" w:hAnsi="Calibri"/>
          <w:color w:val="222222"/>
          <w:sz w:val="20"/>
        </w:rPr>
        <w:t>income_musd[r,s] = shock_musd[r,s] x household_income_per_musd_output[r,s]</w:t>
      </w:r>
    </w:p>
    <w:p>
      <w:pPr/>
      <w:r>
        <w:rPr>
          <w:rFonts w:ascii="Calibri" w:hAnsi="Calibri"/>
          <w:i w:val="0"/>
          <w:color w:val="222222"/>
          <w:sz w:val="22"/>
        </w:rPr>
        <w:t>The runtime enforces total jobs greater than or equal to direct jobs and aggregates records by region, supplier sector, and region-sector pair.</w:t>
      </w:r>
    </w:p>
    <w:p>
      <w:pPr>
        <w:pStyle w:val="Heading2"/>
        <w:keepNext/>
      </w:pPr>
      <w:r>
        <w:t>A.4 Uncertainty bands</w:t>
      </w:r>
    </w:p>
    <w:p>
      <w:pPr>
        <w:spacing w:before="120" w:after="200" w:line="264" w:lineRule="auto"/>
        <w:ind w:left="173" w:right="173"/>
        <w:shd w:fill="E8EEF5"/>
        <w:pBdr>
          <w:top w:val="single" w:sz="8" w:space="6" w:color="2E74B5"/>
          <w:left w:val="single" w:sz="8" w:space="6" w:color="2E74B5"/>
          <w:bottom w:val="single" w:sz="8" w:space="6" w:color="2E74B5"/>
          <w:right w:val="single" w:sz="8" w:space="6" w:color="2E74B5"/>
        </w:pBdr>
      </w:pPr>
      <w:r>
        <w:rPr>
          <w:rFonts w:ascii="Calibri" w:hAnsi="Calibri"/>
          <w:b/>
          <w:color w:val="2E74B5"/>
          <w:sz w:val="20"/>
        </w:rPr>
        <w:t xml:space="preserve">CONFIGURED RANGE  </w:t>
      </w:r>
      <w:r>
        <w:rPr>
          <w:rFonts w:ascii="Calibri" w:hAnsi="Calibri"/>
          <w:color w:val="222222"/>
          <w:sz w:val="20"/>
        </w:rPr>
        <w:t>lower = max(value x (1 - relative bound), 0); upper = max(value x (1 + relative bound), 0)</w:t>
      </w:r>
    </w:p>
    <w:p>
      <w:pPr/>
      <w:r>
        <w:rPr>
          <w:rFonts w:ascii="Calibri" w:hAnsi="Calibri"/>
          <w:i w:val="0"/>
          <w:color w:val="222222"/>
          <w:sz w:val="22"/>
        </w:rPr>
        <w:t>The default relative bound is 0.12. This is a configured scenario range, not a statistical confidence interval.</w:t>
      </w:r>
    </w:p>
    <w:p>
      <w:pPr>
        <w:pStyle w:val="Heading2"/>
        <w:keepNext/>
      </w:pPr>
      <w:r>
        <w:t>A.5 Integrated proxies</w:t>
      </w:r>
    </w:p>
    <w:p>
      <w:pPr>
        <w:pStyle w:val="ListBullet"/>
      </w:pPr>
      <w:r>
        <w:rPr>
          <w:rFonts w:ascii="Calibri" w:hAnsi="Calibri"/>
          <w:color w:val="222222"/>
          <w:sz w:val="22"/>
        </w:rPr>
        <w:t>Reliability penalty: unserved energy multiplied by a selected value-of-lost-load assumption, with unit conversion to million USD.</w:t>
      </w:r>
    </w:p>
    <w:p>
      <w:pPr>
        <w:pStyle w:val="ListBullet"/>
      </w:pPr>
      <w:r>
        <w:rPr>
          <w:rFonts w:ascii="Calibri" w:hAnsi="Calibri"/>
          <w:color w:val="222222"/>
          <w:sz w:val="22"/>
        </w:rPr>
        <w:t>Import leakage: positive supplier shocks multiplied by fixed shares selected from supplier-name rules.</w:t>
      </w:r>
    </w:p>
    <w:p>
      <w:pPr>
        <w:pStyle w:val="ListBullet"/>
      </w:pPr>
      <w:r>
        <w:rPr>
          <w:rFonts w:ascii="Calibri" w:hAnsi="Calibri"/>
          <w:color w:val="222222"/>
          <w:sz w:val="22"/>
        </w:rPr>
        <w:t>Carbon cost burden: physical emissions multiplied by the selected carbon price and converted to million USD.</w:t>
      </w:r>
    </w:p>
    <w:p>
      <w:pPr>
        <w:pStyle w:val="Heading1"/>
        <w:keepNext/>
      </w:pPr>
      <w:r>
        <w:t>Appendix B. Dataset register</w:t>
      </w:r>
    </w:p>
    <w:tbl>
      <w:tblPr>
        <w:tblStyle w:val="TableGrid"/>
        <w:tblW w:type="dxa" w:w="9360"/>
        <w:jc w:val="left"/>
        <w:tblLayout w:type="fixed"/>
        <w:tblLook w:firstColumn="1" w:firstRow="1" w:lastColumn="0" w:lastRow="0" w:noHBand="0" w:noVBand="1" w:val="04A0"/>
        <w:tblInd w:type="dxa" w:w="120"/>
        <w:tblBorders>
          <w:top w:val="single" w:sz="6" w:color="D7DCE2"/>
          <w:left w:val="single" w:sz="6" w:color="D7DCE2"/>
          <w:bottom w:val="single" w:sz="6" w:color="D7DCE2"/>
          <w:right w:val="single" w:sz="6" w:color="D7DCE2"/>
          <w:insideH w:val="single" w:sz="6" w:color="D7DCE2"/>
          <w:insideV w:val="single" w:sz="6" w:color="D7DCE2"/>
        </w:tblBorders>
      </w:tblPr>
      <w:tblGrid>
        <w:gridCol w:w="3384"/>
        <w:gridCol w:w="3528"/>
        <w:gridCol w:w="2448"/>
      </w:tblGrid>
      <w:tr>
        <w:trPr>
          <w:tblHeader w:val="true"/>
          <w:cantSplit w:val="true"/>
        </w:trPr>
        <w:tc>
          <w:tcPr>
            <w:tcW w:type="dxa" w:w="3384"/>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6"/>
              </w:rPr>
              <w:t>Dataset</w:t>
            </w:r>
          </w:p>
        </w:tc>
        <w:tc>
          <w:tcPr>
            <w:tcW w:type="dxa" w:w="3528"/>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6"/>
              </w:rPr>
              <w:t>Role</w:t>
            </w:r>
          </w:p>
        </w:tc>
        <w:tc>
          <w:tcPr>
            <w:tcW w:type="dxa" w:w="2448"/>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6"/>
              </w:rPr>
              <w:t>Current status</w:t>
            </w:r>
          </w:p>
        </w:tc>
      </w:tr>
      <w:tr>
        <w:trPr>
          <w:cantSplit w:val="true"/>
        </w:trPr>
        <w:tc>
          <w:tcPr>
            <w:tcW w:type="dxa" w:w="338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scenario_metadata.csv</w:t>
            </w:r>
          </w:p>
        </w:tc>
        <w:tc>
          <w:tcPr>
            <w:tcW w:type="dxa" w:w="35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Energy pathway labels and preset levers.</w:t>
            </w:r>
          </w:p>
        </w:tc>
        <w:tc>
          <w:tcPr>
            <w:tcW w:type="dxa" w:w="244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11 records; requires policy sign-off.</w:t>
            </w:r>
          </w:p>
        </w:tc>
      </w:tr>
      <w:tr>
        <w:trPr>
          <w:cantSplit w:val="true"/>
        </w:trPr>
        <w:tc>
          <w:tcPr>
            <w:tcW w:type="dxa" w:w="3384"/>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generated/scenario_report_scenarios.json</w:t>
            </w:r>
          </w:p>
        </w:tc>
        <w:tc>
          <w:tcPr>
            <w:tcW w:type="dxa" w:w="35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Structured target pathways and MRIO-direct assumptions.</w:t>
            </w:r>
          </w:p>
        </w:tc>
        <w:tc>
          <w:tcPr>
            <w:tcW w:type="dxa" w:w="244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Required; exploratory source records.</w:t>
            </w:r>
          </w:p>
        </w:tc>
      </w:tr>
      <w:tr>
        <w:trPr>
          <w:cantSplit w:val="true"/>
        </w:trPr>
        <w:tc>
          <w:tcPr>
            <w:tcW w:type="dxa" w:w="338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Africa national placeholder scenario JSON</w:t>
            </w:r>
          </w:p>
        </w:tc>
        <w:tc>
          <w:tcPr>
            <w:tcW w:type="dxa" w:w="35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National S1/S2 pathways.</w:t>
            </w:r>
          </w:p>
        </w:tc>
        <w:tc>
          <w:tcPr>
            <w:tcW w:type="dxa" w:w="244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Explicit placeholder inheritance.</w:t>
            </w:r>
          </w:p>
        </w:tc>
      </w:tr>
      <w:tr>
        <w:trPr>
          <w:cantSplit w:val="true"/>
        </w:trPr>
        <w:tc>
          <w:tcPr>
            <w:tcW w:type="dxa" w:w="3384"/>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scenario_geography_mapping.csv</w:t>
            </w:r>
          </w:p>
        </w:tc>
        <w:tc>
          <w:tcPr>
            <w:tcW w:type="dxa" w:w="35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Aligns development geographies and Calliope locations.</w:t>
            </w:r>
          </w:p>
        </w:tc>
        <w:tc>
          <w:tcPr>
            <w:tcW w:type="dxa" w:w="244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58 rows; remove unresolved mappings.</w:t>
            </w:r>
          </w:p>
        </w:tc>
      </w:tr>
      <w:tr>
        <w:trPr>
          <w:cantSplit w:val="true"/>
        </w:trPr>
        <w:tc>
          <w:tcPr>
            <w:tcW w:type="dxa" w:w="338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Calliope model and overrides</w:t>
            </w:r>
          </w:p>
        </w:tc>
        <w:tc>
          <w:tcPr>
            <w:tcW w:type="dxa" w:w="35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Energy structure and scenario variants.</w:t>
            </w:r>
          </w:p>
        </w:tc>
        <w:tc>
          <w:tcPr>
            <w:tcW w:type="dxa" w:w="244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Executable; provenance and calibration incomplete.</w:t>
            </w:r>
          </w:p>
        </w:tc>
      </w:tr>
      <w:tr>
        <w:trPr>
          <w:cantSplit w:val="true"/>
        </w:trPr>
        <w:tc>
          <w:tcPr>
            <w:tcW w:type="dxa" w:w="3384"/>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lever_mappings.csv</w:t>
            </w:r>
          </w:p>
        </w:tc>
        <w:tc>
          <w:tcPr>
            <w:tcW w:type="dxa" w:w="35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Maps user levers to technologies and model key paths.</w:t>
            </w:r>
          </w:p>
        </w:tc>
        <w:tc>
          <w:tcPr>
            <w:tcW w:type="dxa" w:w="244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Executable; coverage review required.</w:t>
            </w:r>
          </w:p>
        </w:tc>
      </w:tr>
      <w:tr>
        <w:trPr>
          <w:cantSplit w:val="true"/>
        </w:trPr>
        <w:tc>
          <w:tcPr>
            <w:tcW w:type="dxa" w:w="338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development_model.csv</w:t>
            </w:r>
          </w:p>
        </w:tc>
        <w:tc>
          <w:tcPr>
            <w:tcW w:type="dxa" w:w="35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Development uncertainty and controls.</w:t>
            </w:r>
          </w:p>
        </w:tc>
        <w:tc>
          <w:tcPr>
            <w:tcW w:type="dxa" w:w="244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Configured 12 percent bounds.</w:t>
            </w:r>
          </w:p>
        </w:tc>
      </w:tr>
      <w:tr>
        <w:trPr>
          <w:cantSplit w:val="true"/>
        </w:trPr>
        <w:tc>
          <w:tcPr>
            <w:tcW w:type="dxa" w:w="3384"/>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employment_intensity.csv</w:t>
            </w:r>
          </w:p>
        </w:tc>
        <w:tc>
          <w:tcPr>
            <w:tcW w:type="dxa" w:w="35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Jobs per million USD by region and sector.</w:t>
            </w:r>
          </w:p>
        </w:tc>
        <w:tc>
          <w:tcPr>
            <w:tcW w:type="dxa" w:w="244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50 seeded placeholder rows.</w:t>
            </w:r>
          </w:p>
        </w:tc>
      </w:tr>
      <w:tr>
        <w:trPr>
          <w:cantSplit w:val="true"/>
        </w:trPr>
        <w:tc>
          <w:tcPr>
            <w:tcW w:type="dxa" w:w="338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value_added_intensity.csv</w:t>
            </w:r>
          </w:p>
        </w:tc>
        <w:tc>
          <w:tcPr>
            <w:tcW w:type="dxa" w:w="35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GVA and household income per million USD.</w:t>
            </w:r>
          </w:p>
        </w:tc>
        <w:tc>
          <w:tcPr>
            <w:tcW w:type="dxa" w:w="244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50 seeded placeholder rows.</w:t>
            </w:r>
          </w:p>
        </w:tc>
      </w:tr>
      <w:tr>
        <w:trPr>
          <w:cantSplit w:val="true"/>
        </w:trPr>
        <w:tc>
          <w:tcPr>
            <w:tcW w:type="dxa" w:w="3384"/>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development_indicator_mapping.csv</w:t>
            </w:r>
          </w:p>
        </w:tc>
        <w:tc>
          <w:tcPr>
            <w:tcW w:type="dxa" w:w="35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Maps model metrics to reported indicators.</w:t>
            </w:r>
          </w:p>
        </w:tc>
        <w:tc>
          <w:tcPr>
            <w:tcW w:type="dxa" w:w="244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7 supported seed mappings.</w:t>
            </w:r>
          </w:p>
        </w:tc>
      </w:tr>
      <w:tr>
        <w:trPr>
          <w:cantSplit w:val="true"/>
        </w:trPr>
        <w:tc>
          <w:tcPr>
            <w:tcW w:type="dxa" w:w="338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scenario_assumptions.csv</w:t>
            </w:r>
          </w:p>
        </w:tc>
        <w:tc>
          <w:tcPr>
            <w:tcW w:type="dxa" w:w="35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Macro, price, VOLL, carbon and reporting assumptions.</w:t>
            </w:r>
          </w:p>
        </w:tc>
        <w:tc>
          <w:tcPr>
            <w:tcW w:type="dxa" w:w="244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72 seeded placeholder rows.</w:t>
            </w:r>
          </w:p>
        </w:tc>
      </w:tr>
      <w:tr>
        <w:trPr>
          <w:cantSplit w:val="true"/>
        </w:trPr>
        <w:tc>
          <w:tcPr>
            <w:tcW w:type="dxa" w:w="3384"/>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country_to_pool.csv</w:t>
            </w:r>
          </w:p>
        </w:tc>
        <w:tc>
          <w:tcPr>
            <w:tcW w:type="dxa" w:w="35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Maps model locations to power pools and regions.</w:t>
            </w:r>
          </w:p>
        </w:tc>
        <w:tc>
          <w:tcPr>
            <w:tcW w:type="dxa" w:w="244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55 rows; concordance review required.</w:t>
            </w:r>
          </w:p>
        </w:tc>
      </w:tr>
      <w:tr>
        <w:trPr>
          <w:cantSplit w:val="true"/>
        </w:trPr>
        <w:tc>
          <w:tcPr>
            <w:tcW w:type="dxa" w:w="338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capex_sector_split.csv</w:t>
            </w:r>
          </w:p>
        </w:tc>
        <w:tc>
          <w:tcPr>
            <w:tcW w:type="dxa" w:w="35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Splits investment into supplier sectors.</w:t>
            </w:r>
          </w:p>
        </w:tc>
        <w:tc>
          <w:tcPr>
            <w:tcW w:type="dxa" w:w="244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5 seed rows.</w:t>
            </w:r>
          </w:p>
        </w:tc>
      </w:tr>
      <w:tr>
        <w:trPr>
          <w:cantSplit w:val="true"/>
        </w:trPr>
        <w:tc>
          <w:tcPr>
            <w:tcW w:type="dxa" w:w="3384"/>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opex_sector_split.csv</w:t>
            </w:r>
          </w:p>
        </w:tc>
        <w:tc>
          <w:tcPr>
            <w:tcW w:type="dxa" w:w="35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Splits OPEX and fuel into supplier sectors.</w:t>
            </w:r>
          </w:p>
        </w:tc>
        <w:tc>
          <w:tcPr>
            <w:tcW w:type="dxa" w:w="244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11 seed rows.</w:t>
            </w:r>
          </w:p>
        </w:tc>
      </w:tr>
      <w:tr>
        <w:trPr>
          <w:cantSplit w:val="true"/>
        </w:trPr>
        <w:tc>
          <w:tcPr>
            <w:tcW w:type="dxa" w:w="3384"/>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calliope_tech_to_mario_sector.csv</w:t>
            </w:r>
          </w:p>
        </w:tc>
        <w:tc>
          <w:tcPr>
            <w:tcW w:type="dxa" w:w="35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Maps energy technologies to development sectors.</w:t>
            </w:r>
          </w:p>
        </w:tc>
        <w:tc>
          <w:tcPr>
            <w:tcW w:type="dxa" w:w="244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6"/>
              </w:rPr>
              <w:t>9 seed rows.</w:t>
            </w:r>
          </w:p>
        </w:tc>
      </w:tr>
    </w:tbl>
    <w:p>
      <w:pPr>
        <w:spacing w:after="40"/>
      </w:pPr>
    </w:p>
    <w:p>
      <w:pPr>
        <w:pStyle w:val="Heading1"/>
        <w:keepNext/>
      </w:pPr>
      <w:r>
        <w:t>Appendix C. Outputs and run review</w:t>
      </w:r>
    </w:p>
    <w:p>
      <w:pPr>
        <w:pStyle w:val="Heading2"/>
        <w:keepNext/>
      </w:pPr>
      <w:r>
        <w:t>C.1 Principal analytical artifacts</w:t>
      </w:r>
    </w:p>
    <w:tbl>
      <w:tblPr>
        <w:tblStyle w:val="TableGrid"/>
        <w:tblW w:type="dxa" w:w="9360"/>
        <w:jc w:val="left"/>
        <w:tblLayout w:type="fixed"/>
        <w:tblLook w:firstColumn="1" w:firstRow="1" w:lastColumn="0" w:lastRow="0" w:noHBand="0" w:noVBand="1" w:val="04A0"/>
        <w:tblInd w:type="dxa" w:w="120"/>
        <w:tblBorders>
          <w:top w:val="single" w:sz="6" w:color="D7DCE2"/>
          <w:left w:val="single" w:sz="6" w:color="D7DCE2"/>
          <w:bottom w:val="single" w:sz="6" w:color="D7DCE2"/>
          <w:right w:val="single" w:sz="6" w:color="D7DCE2"/>
          <w:insideH w:val="single" w:sz="6" w:color="D7DCE2"/>
          <w:insideV w:val="single" w:sz="6" w:color="D7DCE2"/>
        </w:tblBorders>
      </w:tblPr>
      <w:tblGrid>
        <w:gridCol w:w="3168"/>
        <w:gridCol w:w="6192"/>
      </w:tblGrid>
      <w:tr>
        <w:trPr>
          <w:tblHeader w:val="true"/>
          <w:cantSplit w:val="true"/>
        </w:trPr>
        <w:tc>
          <w:tcPr>
            <w:tcW w:type="dxa" w:w="3168"/>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Artifact</w:t>
            </w:r>
          </w:p>
        </w:tc>
        <w:tc>
          <w:tcPr>
            <w:tcW w:type="dxa" w:w="6192"/>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Purpose</w:t>
            </w:r>
          </w:p>
        </w:tc>
      </w:tr>
      <w:tr>
        <w:trPr>
          <w:cantSplit w:val="true"/>
        </w:trPr>
        <w:tc>
          <w:tcPr>
            <w:tcW w:type="dxa" w:w="316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results.csv</w:t>
            </w:r>
          </w:p>
        </w:tc>
        <w:tc>
          <w:tcPr>
            <w:tcW w:type="dxa" w:w="619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Long-form energy-model results.</w:t>
            </w:r>
          </w:p>
        </w:tc>
      </w:tr>
      <w:tr>
        <w:trPr>
          <w:cantSplit w:val="true"/>
        </w:trPr>
        <w:tc>
          <w:tcPr>
            <w:tcW w:type="dxa" w:w="316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summary.json</w:t>
            </w:r>
          </w:p>
        </w:tc>
        <w:tc>
          <w:tcPr>
            <w:tcW w:type="dxa" w:w="619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Energy aggregates, diagnostics, scenario package, and artifact catalog.</w:t>
            </w:r>
          </w:p>
        </w:tc>
      </w:tr>
      <w:tr>
        <w:trPr>
          <w:cantSplit w:val="true"/>
        </w:trPr>
        <w:tc>
          <w:tcPr>
            <w:tcW w:type="dxa" w:w="316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development_impacts.json</w:t>
            </w:r>
          </w:p>
        </w:tc>
        <w:tc>
          <w:tcPr>
            <w:tcW w:type="dxa" w:w="619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Bridge, MRIO-direct, selected, and combined development channels.</w:t>
            </w:r>
          </w:p>
        </w:tc>
      </w:tr>
      <w:tr>
        <w:trPr>
          <w:cantSplit w:val="true"/>
        </w:trPr>
        <w:tc>
          <w:tcPr>
            <w:tcW w:type="dxa" w:w="316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coupling_manifest.json</w:t>
            </w:r>
          </w:p>
        </w:tc>
        <w:tc>
          <w:tcPr>
            <w:tcW w:type="dxa" w:w="619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Mapping coverage, methods, overlap policy, and runtime diagnostics.</w:t>
            </w:r>
          </w:p>
        </w:tc>
      </w:tr>
      <w:tr>
        <w:trPr>
          <w:cantSplit w:val="true"/>
        </w:trPr>
        <w:tc>
          <w:tcPr>
            <w:tcW w:type="dxa" w:w="316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integrated_results.json</w:t>
            </w:r>
          </w:p>
        </w:tc>
        <w:tc>
          <w:tcPr>
            <w:tcW w:type="dxa" w:w="619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Dashboard and report payload with indicators, quality, resolution, and provenance.</w:t>
            </w:r>
          </w:p>
        </w:tc>
      </w:tr>
      <w:tr>
        <w:trPr>
          <w:cantSplit w:val="true"/>
        </w:trPr>
        <w:tc>
          <w:tcPr>
            <w:tcW w:type="dxa" w:w="316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report.md</w:t>
            </w:r>
          </w:p>
        </w:tc>
        <w:tc>
          <w:tcPr>
            <w:tcW w:type="dxa" w:w="619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Human-readable run summary; not a computational data source.</w:t>
            </w:r>
          </w:p>
        </w:tc>
      </w:tr>
      <w:tr>
        <w:trPr>
          <w:cantSplit w:val="true"/>
        </w:trPr>
        <w:tc>
          <w:tcPr>
            <w:tcW w:type="dxa" w:w="316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exchange_bundle.zip</w:t>
            </w:r>
          </w:p>
        </w:tc>
        <w:tc>
          <w:tcPr>
            <w:tcW w:type="dxa" w:w="619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Portable package of run inputs, exchange files, and outputs.</w:t>
            </w:r>
          </w:p>
        </w:tc>
      </w:tr>
    </w:tbl>
    <w:p>
      <w:pPr>
        <w:spacing w:after="40"/>
      </w:pPr>
    </w:p>
    <w:p>
      <w:pPr>
        <w:pStyle w:val="Heading2"/>
        <w:keepNext/>
      </w:pPr>
      <w:r>
        <w:t>C.2 Minimum run-review checklist</w:t>
      </w:r>
    </w:p>
    <w:p>
      <w:pPr>
        <w:pStyle w:val="ListBullet"/>
      </w:pPr>
      <w:r>
        <w:rPr>
          <w:rFonts w:ascii="Calibri" w:hAnsi="Calibri"/>
          <w:color w:val="222222"/>
          <w:sz w:val="22"/>
        </w:rPr>
        <w:t>Confirm architecture, profile, time window, baseline, target year, geography, and solver.</w:t>
      </w:r>
    </w:p>
    <w:p>
      <w:pPr>
        <w:pStyle w:val="ListBullet"/>
      </w:pPr>
      <w:r>
        <w:rPr>
          <w:rFonts w:ascii="Calibri" w:hAnsi="Calibri"/>
          <w:color w:val="222222"/>
          <w:sz w:val="22"/>
        </w:rPr>
        <w:t>Review request bundle, scenario package, model manifest, dataset manifest, and dataset versions.</w:t>
      </w:r>
    </w:p>
    <w:p>
      <w:pPr>
        <w:pStyle w:val="ListBullet"/>
      </w:pPr>
      <w:r>
        <w:rPr>
          <w:rFonts w:ascii="Calibri" w:hAnsi="Calibri"/>
          <w:color w:val="222222"/>
          <w:sz w:val="22"/>
        </w:rPr>
        <w:t>Inspect the generated lever override and verify affected technologies and units.</w:t>
      </w:r>
    </w:p>
    <w:p>
      <w:pPr>
        <w:pStyle w:val="ListBullet"/>
      </w:pPr>
      <w:r>
        <w:rPr>
          <w:rFonts w:ascii="Calibri" w:hAnsi="Calibri"/>
          <w:color w:val="222222"/>
          <w:sz w:val="22"/>
        </w:rPr>
        <w:t>Review energy balance, unmet demand, emissions, cost decomposition, and power-pool diagnostics.</w:t>
      </w:r>
    </w:p>
    <w:p>
      <w:pPr>
        <w:pStyle w:val="ListBullet"/>
      </w:pPr>
      <w:r>
        <w:rPr>
          <w:rFonts w:ascii="Calibri" w:hAnsi="Calibri"/>
          <w:color w:val="222222"/>
          <w:sz w:val="22"/>
        </w:rPr>
        <w:t>Reconcile energy monetary components with CAPEX, OPEX, and fuel exchange totals.</w:t>
      </w:r>
    </w:p>
    <w:p>
      <w:pPr>
        <w:pStyle w:val="ListBullet"/>
      </w:pPr>
      <w:r>
        <w:rPr>
          <w:rFonts w:ascii="Calibri" w:hAnsi="Calibri"/>
          <w:color w:val="222222"/>
          <w:sz w:val="22"/>
        </w:rPr>
        <w:t>Review mapping coverage, UNKNOWN records, fallback shares, and intensity match tiers.</w:t>
      </w:r>
    </w:p>
    <w:p>
      <w:pPr>
        <w:pStyle w:val="ListBullet"/>
      </w:pPr>
      <w:r>
        <w:rPr>
          <w:rFonts w:ascii="Calibri" w:hAnsi="Calibri"/>
          <w:color w:val="222222"/>
          <w:sz w:val="22"/>
        </w:rPr>
        <w:t>Confirm selected totals source and do not use combined totals as headline results.</w:t>
      </w:r>
    </w:p>
    <w:p>
      <w:pPr>
        <w:pStyle w:val="ListBullet"/>
      </w:pPr>
      <w:r>
        <w:rPr>
          <w:rFonts w:ascii="Calibri" w:hAnsi="Calibri"/>
          <w:color w:val="222222"/>
          <w:sz w:val="22"/>
        </w:rPr>
        <w:t>Read model-quality issues, all warnings, uncertainty metadata, and metric-resolution rules.</w:t>
      </w:r>
    </w:p>
    <w:p>
      <w:pPr>
        <w:pStyle w:val="ListBullet"/>
      </w:pPr>
      <w:r>
        <w:rPr>
          <w:rFonts w:ascii="Calibri" w:hAnsi="Calibri"/>
          <w:color w:val="222222"/>
          <w:sz w:val="22"/>
        </w:rPr>
        <w:t>Record reviewer, decision, limitations, and approved interpretation before publication.</w:t>
      </w:r>
    </w:p>
    <w:p>
      <w:pPr>
        <w:pStyle w:val="Heading1"/>
        <w:keepNext/>
      </w:pPr>
      <w:r>
        <w:t>Appendix D. Glossary</w:t>
      </w:r>
    </w:p>
    <w:tbl>
      <w:tblPr>
        <w:tblStyle w:val="TableGrid"/>
        <w:tblW w:type="dxa" w:w="9360"/>
        <w:jc w:val="left"/>
        <w:tblLayout w:type="fixed"/>
        <w:tblLook w:firstColumn="1" w:firstRow="1" w:lastColumn="0" w:lastRow="0" w:noHBand="0" w:noVBand="1" w:val="04A0"/>
        <w:tblInd w:type="dxa" w:w="120"/>
        <w:tblBorders>
          <w:top w:val="single" w:sz="6" w:color="D7DCE2"/>
          <w:left w:val="single" w:sz="6" w:color="D7DCE2"/>
          <w:bottom w:val="single" w:sz="6" w:color="D7DCE2"/>
          <w:right w:val="single" w:sz="6" w:color="D7DCE2"/>
          <w:insideH w:val="single" w:sz="6" w:color="D7DCE2"/>
          <w:insideV w:val="single" w:sz="6" w:color="D7DCE2"/>
        </w:tblBorders>
      </w:tblPr>
      <w:tblGrid>
        <w:gridCol w:w="2232"/>
        <w:gridCol w:w="7128"/>
      </w:tblGrid>
      <w:tr>
        <w:trPr>
          <w:tblHeader w:val="true"/>
          <w:cantSplit w:val="true"/>
        </w:trPr>
        <w:tc>
          <w:tcPr>
            <w:tcW w:type="dxa" w:w="2232"/>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Term</w:t>
            </w:r>
          </w:p>
        </w:tc>
        <w:tc>
          <w:tcPr>
            <w:tcW w:type="dxa" w:w="7128"/>
            <w:shd w:fill="F2F4F7"/>
            <w:vAlign w:val="center"/>
            <w:tcMar>
              <w:top w:w="95" w:type="dxa"/>
              <w:bottom w:w="95" w:type="dxa"/>
              <w:start w:w="120" w:type="dxa"/>
              <w:end w:w="120" w:type="dxa"/>
            </w:tcMar>
          </w:tcPr>
          <w:p>
            <w:pPr>
              <w:spacing w:before="0" w:after="0" w:line="259" w:lineRule="auto"/>
              <w:jc w:val="left"/>
            </w:pPr>
            <w:r/>
            <w:r>
              <w:rPr>
                <w:rFonts w:ascii="Calibri" w:hAnsi="Calibri"/>
                <w:b/>
                <w:color w:val="0B2545"/>
                <w:sz w:val="18"/>
              </w:rPr>
              <w:t>Meaning in this report</w:t>
            </w:r>
          </w:p>
        </w:tc>
      </w:tr>
      <w:tr>
        <w:trPr>
          <w:cantSplit w:val="true"/>
        </w:trPr>
        <w:tc>
          <w:tcPr>
            <w:tcW w:type="dxa" w:w="223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Calliope</w:t>
            </w:r>
          </w:p>
        </w:tc>
        <w:tc>
          <w:tcPr>
            <w:tcW w:type="dxa" w:w="71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The optimization framework used by the current executable energy model.</w:t>
            </w:r>
          </w:p>
        </w:tc>
      </w:tr>
      <w:tr>
        <w:trPr>
          <w:cantSplit w:val="true"/>
        </w:trPr>
        <w:tc>
          <w:tcPr>
            <w:tcW w:type="dxa" w:w="223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CAPEX</w:t>
            </w:r>
          </w:p>
        </w:tc>
        <w:tc>
          <w:tcPr>
            <w:tcW w:type="dxa" w:w="71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Capital expenditure associated with new energy and network assets.</w:t>
            </w:r>
          </w:p>
        </w:tc>
      </w:tr>
      <w:tr>
        <w:trPr>
          <w:cantSplit w:val="true"/>
        </w:trPr>
        <w:tc>
          <w:tcPr>
            <w:tcW w:type="dxa" w:w="223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OPEX</w:t>
            </w:r>
          </w:p>
        </w:tc>
        <w:tc>
          <w:tcPr>
            <w:tcW w:type="dxa" w:w="71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Operating expenditure, including fixed and variable operations and fuel channels.</w:t>
            </w:r>
          </w:p>
        </w:tc>
      </w:tr>
      <w:tr>
        <w:trPr>
          <w:cantSplit w:val="true"/>
        </w:trPr>
        <w:tc>
          <w:tcPr>
            <w:tcW w:type="dxa" w:w="223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MRIO</w:t>
            </w:r>
          </w:p>
        </w:tc>
        <w:tc>
          <w:tcPr>
            <w:tcW w:type="dxa" w:w="71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Multiregional input-output modeling. It is the intended development-model family; a full matrix solve is not yet active.</w:t>
            </w:r>
          </w:p>
        </w:tc>
      </w:tr>
      <w:tr>
        <w:trPr>
          <w:cantSplit w:val="true"/>
        </w:trPr>
        <w:tc>
          <w:tcPr>
            <w:tcW w:type="dxa" w:w="223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Leontief inverse</w:t>
            </w:r>
          </w:p>
        </w:tc>
        <w:tc>
          <w:tcPr>
            <w:tcW w:type="dxa" w:w="71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The matrix (I - A)^-1 used to propagate final-demand shocks through an input-output system.</w:t>
            </w:r>
          </w:p>
        </w:tc>
      </w:tr>
      <w:tr>
        <w:trPr>
          <w:cantSplit w:val="true"/>
        </w:trPr>
        <w:tc>
          <w:tcPr>
            <w:tcW w:type="dxa" w:w="223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Bridge</w:t>
            </w:r>
          </w:p>
        </w:tc>
        <w:tc>
          <w:tcPr>
            <w:tcW w:type="dxa" w:w="71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The transformation from energy monetary components to region-sector development shocks.</w:t>
            </w:r>
          </w:p>
        </w:tc>
      </w:tr>
      <w:tr>
        <w:trPr>
          <w:cantSplit w:val="true"/>
        </w:trPr>
        <w:tc>
          <w:tcPr>
            <w:tcW w:type="dxa" w:w="223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Selected totals</w:t>
            </w:r>
          </w:p>
        </w:tc>
        <w:tc>
          <w:tcPr>
            <w:tcW w:type="dxa" w:w="71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Bridge-derived development totals used for headline results.</w:t>
            </w:r>
          </w:p>
        </w:tc>
      </w:tr>
      <w:tr>
        <w:trPr>
          <w:cantSplit w:val="true"/>
        </w:trPr>
        <w:tc>
          <w:tcPr>
            <w:tcW w:type="dxa" w:w="223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Combined totals</w:t>
            </w:r>
          </w:p>
        </w:tc>
        <w:tc>
          <w:tcPr>
            <w:tcW w:type="dxa" w:w="71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Unadjusted bridge plus MRIO-direct diagnostic totals; not authoritative.</w:t>
            </w:r>
          </w:p>
        </w:tc>
      </w:tr>
      <w:tr>
        <w:trPr>
          <w:cantSplit w:val="true"/>
        </w:trPr>
        <w:tc>
          <w:tcPr>
            <w:tcW w:type="dxa" w:w="2232"/>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Strict validation</w:t>
            </w:r>
          </w:p>
        </w:tc>
        <w:tc>
          <w:tcPr>
            <w:tcW w:type="dxa" w:w="7128"/>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Runtime checks that block known placeholder data and other readiness failures.</w:t>
            </w:r>
          </w:p>
        </w:tc>
      </w:tr>
      <w:tr>
        <w:trPr>
          <w:cantSplit w:val="true"/>
        </w:trPr>
        <w:tc>
          <w:tcPr>
            <w:tcW w:type="dxa" w:w="2232"/>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Policy-grade</w:t>
            </w:r>
          </w:p>
        </w:tc>
        <w:tc>
          <w:tcPr>
            <w:tcW w:type="dxa" w:w="7128"/>
            <w:shd w:fill="FAFBFC"/>
            <w:vAlign w:val="center"/>
            <w:tcMar>
              <w:top w:w="95" w:type="dxa"/>
              <w:bottom w:w="95" w:type="dxa"/>
              <w:start w:w="120" w:type="dxa"/>
              <w:end w:w="120" w:type="dxa"/>
            </w:tcMar>
          </w:tcPr>
          <w:p>
            <w:pPr>
              <w:spacing w:before="0" w:after="0" w:line="259" w:lineRule="auto"/>
              <w:jc w:val="left"/>
            </w:pPr>
            <w:r/>
            <w:r>
              <w:rPr>
                <w:rFonts w:ascii="Calibri" w:hAnsi="Calibri"/>
                <w:b w:val="0"/>
                <w:color w:val="222222"/>
                <w:sz w:val="18"/>
              </w:rPr>
              <w:t>A result supported by calibrated data and methods, full provenance, uncertainty analysis, independent validation, and governance approval.</w:t>
            </w:r>
          </w:p>
        </w:tc>
      </w:tr>
    </w:tbl>
    <w:p>
      <w:pPr>
        <w:spacing w:after="40"/>
      </w:pPr>
    </w:p>
    <w:p>
      <w:pPr>
        <w:spacing w:before="120" w:after="200" w:line="264" w:lineRule="auto"/>
        <w:ind w:left="173" w:right="173"/>
        <w:shd w:fill="E8EEF5"/>
        <w:pBdr>
          <w:top w:val="single" w:sz="8" w:space="6" w:color="2E74B5"/>
          <w:left w:val="single" w:sz="8" w:space="6" w:color="2E74B5"/>
          <w:bottom w:val="single" w:sz="8" w:space="6" w:color="2E74B5"/>
          <w:right w:val="single" w:sz="8" w:space="6" w:color="2E74B5"/>
        </w:pBdr>
      </w:pPr>
      <w:r>
        <w:rPr>
          <w:rFonts w:ascii="Calibri" w:hAnsi="Calibri"/>
          <w:b/>
          <w:color w:val="2E74B5"/>
          <w:sz w:val="20"/>
        </w:rPr>
        <w:t xml:space="preserve">CHANGE CONTROL  </w:t>
      </w:r>
      <w:r>
        <w:rPr>
          <w:rFonts w:ascii="Calibri" w:hAnsi="Calibri"/>
          <w:color w:val="222222"/>
          <w:sz w:val="20"/>
        </w:rPr>
        <w:t>Any change to a scenario definition, model equation, source dataset, mapping, unit conversion, fallback, indicator formula, uncertainty assumption, or headline-selection rule is a methodological change. Update this report, the machine-readable manifests, the model input/output catalog, and the relevant tests together.</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0"/>
    </w:pPr>
    <w:r>
      <w:rPr>
        <w:rFonts w:ascii="Calibri" w:hAnsi="Calibri"/>
        <w:color w:val="5B6573"/>
        <w:sz w:val="17"/>
      </w:rPr>
      <w:t>Modeling-team handoff  |  19 July 2026</w:t>
    </w:r>
    <w:r>
      <w:rPr>
        <w:rFonts w:ascii="Calibri" w:hAnsi="Calibri"/>
        <w:color w:val="5B6573"/>
        <w:sz w:val="17"/>
      </w:rPr>
      <w:tab/>
    </w:r>
    <w:r>
      <w:rPr>
        <w:rFonts w:ascii="Calibri" w:hAnsi="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EDIM MODELING METHODOLOGY</w:t>
    </w:r>
    <w:r>
      <w:rPr>
        <w:rFonts w:ascii="Calibri" w:hAnsi="Calibri"/>
        <w:color w:val="5B6573"/>
        <w:sz w:val="17"/>
      </w:rPr>
      <w:t xml:space="preserve">   |   UNDP Sustainable Energy Hub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spacing w:after="160" w:line="280" w:lineRule="auto"/>
      <w:ind w:left="1123" w:hanging="317"/>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EDIM Modeling Methodology and Readiness Assessment</dc:title>
  <dc:subject>Energy-development integrated modeling methodology</dc:subject>
  <dc:creator>UNDP Sustainable Energy Hub</dc:creator>
  <cp:keywords>EDIM, Calliope, energy modeling, development impacts, MRIO, methodology</cp:keywords>
  <dc:description>generated by python-docx</dc:description>
  <cp:lastModifiedBy/>
  <cp:revision>1</cp:revision>
  <dcterms:created xsi:type="dcterms:W3CDTF">2013-12-23T23:15:00Z</dcterms:created>
  <dcterms:modified xsi:type="dcterms:W3CDTF">2013-12-23T23:15:00Z</dcterms:modified>
  <cp:category/>
</cp:coreProperties>
</file>