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00EBB" w14:textId="77777777" w:rsidR="00E56E3B" w:rsidRDefault="00E56E3B">
      <w:pPr>
        <w:spacing w:after="480"/>
      </w:pPr>
    </w:p>
    <w:p w14:paraId="65200EBC" w14:textId="6FABB9E4" w:rsidR="00E56E3B" w:rsidRDefault="009D7C2B">
      <w:pPr>
        <w:spacing w:after="80"/>
        <w:jc w:val="center"/>
      </w:pPr>
      <w:r>
        <w:rPr>
          <w:rFonts w:ascii="Arial" w:eastAsia="Arial" w:hAnsi="Arial" w:cs="Arial"/>
          <w:b/>
          <w:bCs/>
          <w:color w:val="2E5FA3"/>
          <w:sz w:val="56"/>
          <w:szCs w:val="56"/>
        </w:rPr>
        <w:t xml:space="preserve">Energy </w:t>
      </w:r>
      <w:r>
        <w:rPr>
          <w:rFonts w:ascii="Arial" w:eastAsia="Arial" w:hAnsi="Arial" w:cs="Arial"/>
          <w:b/>
          <w:bCs/>
          <w:color w:val="2E5FA3"/>
          <w:sz w:val="56"/>
          <w:szCs w:val="56"/>
        </w:rPr>
        <w:t>Modelling</w:t>
      </w:r>
    </w:p>
    <w:p w14:paraId="65200EBD" w14:textId="77777777" w:rsidR="00E56E3B" w:rsidRDefault="009D7C2B">
      <w:pPr>
        <w:spacing w:after="80"/>
        <w:jc w:val="center"/>
      </w:pPr>
      <w:r>
        <w:rPr>
          <w:rFonts w:ascii="Arial" w:eastAsia="Arial" w:hAnsi="Arial" w:cs="Arial"/>
          <w:b/>
          <w:bCs/>
          <w:color w:val="444444"/>
          <w:sz w:val="36"/>
          <w:szCs w:val="36"/>
        </w:rPr>
        <w:t>Energy Transition Scenario Framework</w:t>
      </w:r>
    </w:p>
    <w:p w14:paraId="65200EBE" w14:textId="77777777" w:rsidR="00E56E3B" w:rsidRDefault="009D7C2B">
      <w:pPr>
        <w:spacing w:after="40"/>
        <w:jc w:val="center"/>
      </w:pPr>
      <w:r>
        <w:rPr>
          <w:rFonts w:ascii="Arial" w:eastAsia="Arial" w:hAnsi="Arial" w:cs="Arial"/>
          <w:i/>
          <w:iCs/>
          <w:color w:val="666666"/>
          <w:sz w:val="26"/>
          <w:szCs w:val="26"/>
        </w:rPr>
        <w:t>Exiobase-Based Multi-Regional Input-Output Analysis</w:t>
      </w:r>
    </w:p>
    <w:p w14:paraId="65200EBF" w14:textId="77777777" w:rsidR="00E56E3B" w:rsidRDefault="009D7C2B">
      <w:pPr>
        <w:spacing w:after="480"/>
        <w:jc w:val="center"/>
      </w:pPr>
      <w:r>
        <w:rPr>
          <w:rFonts w:ascii="Arial" w:eastAsia="Arial" w:hAnsi="Arial" w:cs="Arial"/>
          <w:color w:val="888888"/>
          <w:sz w:val="24"/>
          <w:szCs w:val="24"/>
        </w:rPr>
        <w:t>April 2026</w:t>
      </w:r>
    </w:p>
    <w:p w14:paraId="65200EC0" w14:textId="77777777" w:rsidR="00E56E3B" w:rsidRDefault="00E56E3B">
      <w:pPr>
        <w:pBdr>
          <w:bottom w:val="single" w:sz="6" w:space="4" w:color="2E5FA3"/>
        </w:pBdr>
        <w:spacing w:after="200"/>
      </w:pPr>
    </w:p>
    <w:p w14:paraId="65200EC1" w14:textId="77777777" w:rsidR="00E56E3B" w:rsidRDefault="009D7C2B">
      <w:pPr>
        <w:spacing w:after="120"/>
        <w:jc w:val="center"/>
      </w:pPr>
      <w:r>
        <w:rPr>
          <w:rFonts w:ascii="Arial" w:eastAsia="Arial" w:hAnsi="Arial" w:cs="Arial"/>
          <w:b/>
          <w:bCs/>
          <w:color w:val="2E5FA3"/>
          <w:sz w:val="24"/>
          <w:szCs w:val="24"/>
        </w:rPr>
        <w:t>Geographic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3900"/>
        <w:gridCol w:w="3900"/>
      </w:tblGrid>
      <w:tr w:rsidR="00E56E3B" w14:paraId="65200EC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0EC2" w14:textId="77777777" w:rsidR="00E56E3B" w:rsidRDefault="009D7C2B">
            <w:r>
              <w:rPr>
                <w:rFonts w:ascii="Arial" w:eastAsia="Arial" w:hAnsi="Arial" w:cs="Arial"/>
                <w:b/>
                <w:bCs/>
                <w:color w:val="000000"/>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0EC3" w14:textId="77777777" w:rsidR="00E56E3B" w:rsidRDefault="009D7C2B">
            <w:r>
              <w:rPr>
                <w:rFonts w:ascii="Arial" w:eastAsia="Arial" w:hAnsi="Arial" w:cs="Arial"/>
                <w:b/>
                <w:bCs/>
                <w:color w:val="000000"/>
              </w:rPr>
              <w:t>Geography</w:t>
            </w:r>
          </w:p>
        </w:tc>
        <w:tc>
          <w:tcPr>
            <w:tcW w:w="39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0EC4" w14:textId="77777777" w:rsidR="00E56E3B" w:rsidRDefault="009D7C2B">
            <w:r>
              <w:rPr>
                <w:rFonts w:ascii="Arial" w:eastAsia="Arial" w:hAnsi="Arial" w:cs="Arial"/>
                <w:b/>
                <w:bCs/>
                <w:color w:val="000000"/>
              </w:rPr>
              <w:t>Exiobase Code</w:t>
            </w:r>
          </w:p>
        </w:tc>
      </w:tr>
      <w:tr w:rsidR="00E56E3B" w14:paraId="65200EC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EC6" w14:textId="77777777" w:rsidR="00E56E3B" w:rsidRDefault="009D7C2B">
            <w:r>
              <w:rPr>
                <w:rFonts w:ascii="Arial" w:eastAsia="Arial" w:hAnsi="Arial" w:cs="Arial"/>
                <w:color w:val="000000"/>
              </w:rPr>
              <w:t>Country</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EC7" w14:textId="77777777" w:rsidR="00E56E3B" w:rsidRDefault="009D7C2B">
            <w:r>
              <w:rPr>
                <w:rFonts w:ascii="Arial" w:eastAsia="Arial" w:hAnsi="Arial" w:cs="Arial"/>
                <w:color w:val="000000"/>
              </w:rPr>
              <w:t>South Africa</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EC8" w14:textId="77777777" w:rsidR="00E56E3B" w:rsidRDefault="009D7C2B">
            <w:r>
              <w:rPr>
                <w:rFonts w:ascii="Arial" w:eastAsia="Arial" w:hAnsi="Arial" w:cs="Arial"/>
                <w:color w:val="000000"/>
              </w:rPr>
              <w:t>ZA</w:t>
            </w:r>
          </w:p>
        </w:tc>
      </w:tr>
      <w:tr w:rsidR="00E56E3B" w14:paraId="65200EC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ECA" w14:textId="77777777" w:rsidR="00E56E3B" w:rsidRDefault="009D7C2B">
            <w:r>
              <w:rPr>
                <w:rFonts w:ascii="Arial" w:eastAsia="Arial" w:hAnsi="Arial" w:cs="Arial"/>
                <w:color w:val="000000"/>
              </w:rPr>
              <w:t>Country</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ECB" w14:textId="77777777" w:rsidR="00E56E3B" w:rsidRDefault="009D7C2B">
            <w:r>
              <w:rPr>
                <w:rFonts w:ascii="Arial" w:eastAsia="Arial" w:hAnsi="Arial" w:cs="Arial"/>
                <w:color w:val="000000"/>
              </w:rPr>
              <w:t>India</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ECC" w14:textId="77777777" w:rsidR="00E56E3B" w:rsidRDefault="009D7C2B">
            <w:r>
              <w:rPr>
                <w:rFonts w:ascii="Arial" w:eastAsia="Arial" w:hAnsi="Arial" w:cs="Arial"/>
                <w:color w:val="000000"/>
              </w:rPr>
              <w:t>IN</w:t>
            </w:r>
          </w:p>
        </w:tc>
      </w:tr>
      <w:tr w:rsidR="00E56E3B" w14:paraId="65200ED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ECE" w14:textId="77777777" w:rsidR="00E56E3B" w:rsidRDefault="009D7C2B">
            <w:r>
              <w:rPr>
                <w:rFonts w:ascii="Arial" w:eastAsia="Arial" w:hAnsi="Arial" w:cs="Arial"/>
                <w:color w:val="000000"/>
              </w:rPr>
              <w:t>Country</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ECF" w14:textId="77777777" w:rsidR="00E56E3B" w:rsidRDefault="009D7C2B">
            <w:r>
              <w:rPr>
                <w:rFonts w:ascii="Arial" w:eastAsia="Arial" w:hAnsi="Arial" w:cs="Arial"/>
                <w:color w:val="000000"/>
              </w:rPr>
              <w:t>Brazil</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ED0" w14:textId="77777777" w:rsidR="00E56E3B" w:rsidRDefault="009D7C2B">
            <w:r>
              <w:rPr>
                <w:rFonts w:ascii="Arial" w:eastAsia="Arial" w:hAnsi="Arial" w:cs="Arial"/>
                <w:color w:val="000000"/>
              </w:rPr>
              <w:t>BR</w:t>
            </w:r>
          </w:p>
        </w:tc>
      </w:tr>
      <w:tr w:rsidR="00E56E3B" w14:paraId="65200ED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ED2" w14:textId="77777777" w:rsidR="00E56E3B" w:rsidRDefault="009D7C2B">
            <w:r>
              <w:rPr>
                <w:rFonts w:ascii="Arial" w:eastAsia="Arial" w:hAnsi="Arial" w:cs="Arial"/>
                <w:color w:val="000000"/>
              </w:rPr>
              <w:t>Region</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ED3" w14:textId="77777777" w:rsidR="00E56E3B" w:rsidRDefault="009D7C2B">
            <w:r>
              <w:rPr>
                <w:rFonts w:ascii="Arial" w:eastAsia="Arial" w:hAnsi="Arial" w:cs="Arial"/>
                <w:color w:val="000000"/>
              </w:rPr>
              <w:t>Rest of Africa</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ED4" w14:textId="77777777" w:rsidR="00E56E3B" w:rsidRDefault="009D7C2B">
            <w:r>
              <w:rPr>
                <w:rFonts w:ascii="Arial" w:eastAsia="Arial" w:hAnsi="Arial" w:cs="Arial"/>
                <w:color w:val="000000"/>
              </w:rPr>
              <w:t>WF (Africa aggregate)</w:t>
            </w:r>
          </w:p>
        </w:tc>
      </w:tr>
      <w:tr w:rsidR="00E56E3B" w14:paraId="65200ED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ED6" w14:textId="77777777" w:rsidR="00E56E3B" w:rsidRDefault="009D7C2B">
            <w:r>
              <w:rPr>
                <w:rFonts w:ascii="Arial" w:eastAsia="Arial" w:hAnsi="Arial" w:cs="Arial"/>
                <w:color w:val="000000"/>
              </w:rPr>
              <w:t>Region</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ED7" w14:textId="77777777" w:rsidR="00E56E3B" w:rsidRDefault="009D7C2B">
            <w:r>
              <w:rPr>
                <w:rFonts w:ascii="Arial" w:eastAsia="Arial" w:hAnsi="Arial" w:cs="Arial"/>
                <w:color w:val="000000"/>
              </w:rPr>
              <w:t>Rest of Middle East</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ED8" w14:textId="77777777" w:rsidR="00E56E3B" w:rsidRDefault="009D7C2B">
            <w:r>
              <w:rPr>
                <w:rFonts w:ascii="Arial" w:eastAsia="Arial" w:hAnsi="Arial" w:cs="Arial"/>
                <w:color w:val="000000"/>
              </w:rPr>
              <w:t>WM (MENA aggregate)</w:t>
            </w:r>
          </w:p>
        </w:tc>
      </w:tr>
    </w:tbl>
    <w:p w14:paraId="65200EDA" w14:textId="77777777" w:rsidR="00E56E3B" w:rsidRDefault="00E56E3B">
      <w:pPr>
        <w:spacing w:after="80"/>
      </w:pPr>
    </w:p>
    <w:p w14:paraId="65200EDB" w14:textId="77777777" w:rsidR="00E56E3B" w:rsidRDefault="009D7C2B">
      <w:pPr>
        <w:spacing w:after="120"/>
        <w:jc w:val="center"/>
      </w:pPr>
      <w:r>
        <w:rPr>
          <w:rFonts w:ascii="Arial" w:eastAsia="Arial" w:hAnsi="Arial" w:cs="Arial"/>
          <w:b/>
          <w:bCs/>
          <w:color w:val="2E5FA3"/>
          <w:sz w:val="24"/>
          <w:szCs w:val="24"/>
        </w:rPr>
        <w:t>Two Scenarios Per Geography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2600"/>
        <w:gridCol w:w="5980"/>
      </w:tblGrid>
      <w:tr w:rsidR="00E56E3B" w14:paraId="65200ED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0EDC" w14:textId="77777777" w:rsidR="00E56E3B" w:rsidRDefault="009D7C2B">
            <w:r>
              <w:rPr>
                <w:rFonts w:ascii="Arial" w:eastAsia="Arial" w:hAnsi="Arial" w:cs="Arial"/>
                <w:b/>
                <w:bCs/>
                <w:color w:val="00000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0EDD" w14:textId="77777777" w:rsidR="00E56E3B" w:rsidRDefault="009D7C2B">
            <w:r>
              <w:rPr>
                <w:rFonts w:ascii="Arial" w:eastAsia="Arial" w:hAnsi="Arial" w:cs="Arial"/>
                <w:b/>
                <w:bCs/>
                <w:color w:val="000000"/>
              </w:rPr>
              <w:t>Scenario</w:t>
            </w:r>
          </w:p>
        </w:tc>
        <w:tc>
          <w:tcPr>
            <w:tcW w:w="598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0EDE" w14:textId="77777777" w:rsidR="00E56E3B" w:rsidRDefault="009D7C2B">
            <w:r>
              <w:rPr>
                <w:rFonts w:ascii="Arial" w:eastAsia="Arial" w:hAnsi="Arial" w:cs="Arial"/>
                <w:b/>
                <w:bCs/>
                <w:color w:val="000000"/>
              </w:rPr>
              <w:t>Description</w:t>
            </w:r>
          </w:p>
        </w:tc>
      </w:tr>
      <w:tr w:rsidR="00E56E3B" w14:paraId="65200EE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EE0" w14:textId="77777777" w:rsidR="00E56E3B" w:rsidRDefault="009D7C2B">
            <w:r>
              <w:rPr>
                <w:rFonts w:ascii="Arial" w:eastAsia="Arial" w:hAnsi="Arial" w:cs="Arial"/>
                <w:b/>
                <w:bCs/>
                <w:color w:val="1A5276"/>
              </w:rPr>
              <w:t>S1</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EE1" w14:textId="77777777" w:rsidR="00E56E3B" w:rsidRDefault="009D7C2B">
            <w:r>
              <w:rPr>
                <w:rFonts w:ascii="Arial" w:eastAsia="Arial" w:hAnsi="Arial" w:cs="Arial"/>
                <w:b/>
                <w:bCs/>
                <w:color w:val="000000"/>
              </w:rPr>
              <w:t>Full Decarbonization</w:t>
            </w:r>
          </w:p>
        </w:tc>
        <w:tc>
          <w:tcPr>
            <w:tcW w:w="59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EE2" w14:textId="77777777" w:rsidR="00E56E3B" w:rsidRDefault="009D7C2B">
            <w:r>
              <w:rPr>
                <w:rFonts w:ascii="Arial" w:eastAsia="Arial" w:hAnsi="Arial" w:cs="Arial"/>
                <w:color w:val="000000"/>
              </w:rPr>
              <w:t>100% renewable electricity by 2050 — upper-bound transition shock replacing all fossil generation</w:t>
            </w:r>
          </w:p>
        </w:tc>
      </w:tr>
      <w:tr w:rsidR="00E56E3B" w14:paraId="65200EE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EE4" w14:textId="77777777" w:rsidR="00E56E3B" w:rsidRDefault="009D7C2B">
            <w:r>
              <w:rPr>
                <w:rFonts w:ascii="Arial" w:eastAsia="Arial" w:hAnsi="Arial" w:cs="Arial"/>
                <w:b/>
                <w:bCs/>
                <w:color w:val="1A7A4E"/>
              </w:rPr>
              <w:t>S2</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EE5" w14:textId="77777777" w:rsidR="00E56E3B" w:rsidRDefault="009D7C2B">
            <w:r>
              <w:rPr>
                <w:rFonts w:ascii="Arial" w:eastAsia="Arial" w:hAnsi="Arial" w:cs="Arial"/>
                <w:b/>
                <w:bCs/>
                <w:color w:val="000000"/>
              </w:rPr>
              <w:t>National Policy Target</w:t>
            </w:r>
          </w:p>
        </w:tc>
        <w:tc>
          <w:tcPr>
            <w:tcW w:w="59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EE6" w14:textId="77777777" w:rsidR="00E56E3B" w:rsidRDefault="009D7C2B">
            <w:r>
              <w:rPr>
                <w:rFonts w:ascii="Arial" w:eastAsia="Arial" w:hAnsi="Arial" w:cs="Arial"/>
                <w:color w:val="000000"/>
              </w:rPr>
              <w:t>Country/region-specific targets from the most recent NDCs, national energy plans, and JETP commitments (2023–2025)</w:t>
            </w:r>
          </w:p>
        </w:tc>
      </w:tr>
    </w:tbl>
    <w:p w14:paraId="65200EE8" w14:textId="77777777" w:rsidR="00E56E3B" w:rsidRDefault="009D7C2B">
      <w:r>
        <w:br w:type="page"/>
      </w:r>
    </w:p>
    <w:p w14:paraId="65200EE9" w14:textId="77777777" w:rsidR="00E56E3B" w:rsidRDefault="009D7C2B">
      <w:pPr>
        <w:pStyle w:val="Heading1"/>
        <w:pBdr>
          <w:bottom w:val="single" w:sz="8" w:space="4" w:color="2E5FA3"/>
        </w:pBdr>
      </w:pPr>
      <w:bookmarkStart w:id="0" w:name="_Toc226561760"/>
      <w:r>
        <w:lastRenderedPageBreak/>
        <w:t>Table of Contents</w:t>
      </w:r>
      <w:bookmarkEnd w:id="0"/>
    </w:p>
    <w:sdt>
      <w:sdtPr>
        <w:alias w:val="Table of Contents"/>
        <w:id w:val="392157350"/>
      </w:sdtPr>
      <w:sdtEndPr/>
      <w:sdtContent>
        <w:p w14:paraId="4BA0D7F6" w14:textId="112D4BFA" w:rsidR="009D7C2B" w:rsidRDefault="009D7C2B">
          <w:pPr>
            <w:pStyle w:val="TOC1"/>
            <w:tabs>
              <w:tab w:val="right" w:leader="dot" w:pos="10070"/>
            </w:tabs>
            <w:rPr>
              <w:noProof/>
            </w:rPr>
          </w:pPr>
          <w:r>
            <w:fldChar w:fldCharType="begin"/>
          </w:r>
          <w:r>
            <w:instrText>TOC \h \o "1-3"</w:instrText>
          </w:r>
          <w:r>
            <w:fldChar w:fldCharType="separate"/>
          </w:r>
          <w:hyperlink w:anchor="_Toc226561760" w:history="1">
            <w:r w:rsidRPr="008A402A">
              <w:rPr>
                <w:rStyle w:val="Hyperlink"/>
                <w:noProof/>
              </w:rPr>
              <w:t>Table of Contents</w:t>
            </w:r>
            <w:r>
              <w:rPr>
                <w:noProof/>
              </w:rPr>
              <w:tab/>
            </w:r>
            <w:r>
              <w:rPr>
                <w:noProof/>
              </w:rPr>
              <w:fldChar w:fldCharType="begin"/>
            </w:r>
            <w:r>
              <w:rPr>
                <w:noProof/>
              </w:rPr>
              <w:instrText xml:space="preserve"> PAGEREF _Toc226561760 \h </w:instrText>
            </w:r>
            <w:r>
              <w:rPr>
                <w:noProof/>
              </w:rPr>
            </w:r>
            <w:r>
              <w:rPr>
                <w:noProof/>
              </w:rPr>
              <w:fldChar w:fldCharType="separate"/>
            </w:r>
            <w:r>
              <w:rPr>
                <w:noProof/>
              </w:rPr>
              <w:t>1</w:t>
            </w:r>
            <w:r>
              <w:rPr>
                <w:noProof/>
              </w:rPr>
              <w:fldChar w:fldCharType="end"/>
            </w:r>
          </w:hyperlink>
        </w:p>
        <w:p w14:paraId="7489C504" w14:textId="5336DADB" w:rsidR="009D7C2B" w:rsidRDefault="009D7C2B">
          <w:pPr>
            <w:pStyle w:val="TOC1"/>
            <w:tabs>
              <w:tab w:val="right" w:leader="dot" w:pos="10070"/>
            </w:tabs>
            <w:rPr>
              <w:noProof/>
            </w:rPr>
          </w:pPr>
          <w:hyperlink w:anchor="_Toc226561761" w:history="1">
            <w:r w:rsidRPr="008A402A">
              <w:rPr>
                <w:rStyle w:val="Hyperlink"/>
                <w:noProof/>
              </w:rPr>
              <w:t>1. Introduction and Modelling Context</w:t>
            </w:r>
            <w:r>
              <w:rPr>
                <w:noProof/>
              </w:rPr>
              <w:tab/>
            </w:r>
            <w:r>
              <w:rPr>
                <w:noProof/>
              </w:rPr>
              <w:fldChar w:fldCharType="begin"/>
            </w:r>
            <w:r>
              <w:rPr>
                <w:noProof/>
              </w:rPr>
              <w:instrText xml:space="preserve"> PAGEREF _Toc226561761 \h </w:instrText>
            </w:r>
            <w:r>
              <w:rPr>
                <w:noProof/>
              </w:rPr>
            </w:r>
            <w:r>
              <w:rPr>
                <w:noProof/>
              </w:rPr>
              <w:fldChar w:fldCharType="separate"/>
            </w:r>
            <w:r>
              <w:rPr>
                <w:noProof/>
              </w:rPr>
              <w:t>1</w:t>
            </w:r>
            <w:r>
              <w:rPr>
                <w:noProof/>
              </w:rPr>
              <w:fldChar w:fldCharType="end"/>
            </w:r>
          </w:hyperlink>
        </w:p>
        <w:p w14:paraId="645823AF" w14:textId="3C6ECB5B" w:rsidR="009D7C2B" w:rsidRDefault="009D7C2B">
          <w:pPr>
            <w:pStyle w:val="TOC2"/>
            <w:tabs>
              <w:tab w:val="right" w:leader="dot" w:pos="10070"/>
            </w:tabs>
            <w:rPr>
              <w:noProof/>
            </w:rPr>
          </w:pPr>
          <w:hyperlink w:anchor="_Toc226561762" w:history="1">
            <w:r w:rsidRPr="008A402A">
              <w:rPr>
                <w:rStyle w:val="Hyperlink"/>
                <w:noProof/>
              </w:rPr>
              <w:t>1.1 The MARIO Model</w:t>
            </w:r>
            <w:r>
              <w:rPr>
                <w:noProof/>
              </w:rPr>
              <w:tab/>
            </w:r>
            <w:r>
              <w:rPr>
                <w:noProof/>
              </w:rPr>
              <w:fldChar w:fldCharType="begin"/>
            </w:r>
            <w:r>
              <w:rPr>
                <w:noProof/>
              </w:rPr>
              <w:instrText xml:space="preserve"> PAGEREF _Toc226561762 \h </w:instrText>
            </w:r>
            <w:r>
              <w:rPr>
                <w:noProof/>
              </w:rPr>
            </w:r>
            <w:r>
              <w:rPr>
                <w:noProof/>
              </w:rPr>
              <w:fldChar w:fldCharType="separate"/>
            </w:r>
            <w:r>
              <w:rPr>
                <w:noProof/>
              </w:rPr>
              <w:t>1</w:t>
            </w:r>
            <w:r>
              <w:rPr>
                <w:noProof/>
              </w:rPr>
              <w:fldChar w:fldCharType="end"/>
            </w:r>
          </w:hyperlink>
        </w:p>
        <w:p w14:paraId="245DECE2" w14:textId="17F5A281" w:rsidR="009D7C2B" w:rsidRDefault="009D7C2B">
          <w:pPr>
            <w:pStyle w:val="TOC2"/>
            <w:tabs>
              <w:tab w:val="right" w:leader="dot" w:pos="10070"/>
            </w:tabs>
            <w:rPr>
              <w:noProof/>
            </w:rPr>
          </w:pPr>
          <w:hyperlink w:anchor="_Toc226561763" w:history="1">
            <w:r w:rsidRPr="008A402A">
              <w:rPr>
                <w:rStyle w:val="Hyperlink"/>
                <w:noProof/>
              </w:rPr>
              <w:t>1.2 Exiobase 3 and Energy Sectors</w:t>
            </w:r>
            <w:r>
              <w:rPr>
                <w:noProof/>
              </w:rPr>
              <w:tab/>
            </w:r>
            <w:r>
              <w:rPr>
                <w:noProof/>
              </w:rPr>
              <w:fldChar w:fldCharType="begin"/>
            </w:r>
            <w:r>
              <w:rPr>
                <w:noProof/>
              </w:rPr>
              <w:instrText xml:space="preserve"> PAGEREF _Toc226561763 \h </w:instrText>
            </w:r>
            <w:r>
              <w:rPr>
                <w:noProof/>
              </w:rPr>
            </w:r>
            <w:r>
              <w:rPr>
                <w:noProof/>
              </w:rPr>
              <w:fldChar w:fldCharType="separate"/>
            </w:r>
            <w:r>
              <w:rPr>
                <w:noProof/>
              </w:rPr>
              <w:t>1</w:t>
            </w:r>
            <w:r>
              <w:rPr>
                <w:noProof/>
              </w:rPr>
              <w:fldChar w:fldCharType="end"/>
            </w:r>
          </w:hyperlink>
        </w:p>
        <w:p w14:paraId="42555AB1" w14:textId="3D0CC4A9" w:rsidR="009D7C2B" w:rsidRDefault="009D7C2B">
          <w:pPr>
            <w:pStyle w:val="TOC2"/>
            <w:tabs>
              <w:tab w:val="right" w:leader="dot" w:pos="10070"/>
            </w:tabs>
            <w:rPr>
              <w:noProof/>
            </w:rPr>
          </w:pPr>
          <w:hyperlink w:anchor="_Toc226561764" w:history="1">
            <w:r w:rsidRPr="008A402A">
              <w:rPr>
                <w:rStyle w:val="Hyperlink"/>
                <w:noProof/>
              </w:rPr>
              <w:t>1.3 Shock Implementation Logic in MARIO</w:t>
            </w:r>
            <w:r>
              <w:rPr>
                <w:noProof/>
              </w:rPr>
              <w:tab/>
            </w:r>
            <w:r>
              <w:rPr>
                <w:noProof/>
              </w:rPr>
              <w:fldChar w:fldCharType="begin"/>
            </w:r>
            <w:r>
              <w:rPr>
                <w:noProof/>
              </w:rPr>
              <w:instrText xml:space="preserve"> PAGEREF _Toc226561764 \h </w:instrText>
            </w:r>
            <w:r>
              <w:rPr>
                <w:noProof/>
              </w:rPr>
            </w:r>
            <w:r>
              <w:rPr>
                <w:noProof/>
              </w:rPr>
              <w:fldChar w:fldCharType="separate"/>
            </w:r>
            <w:r>
              <w:rPr>
                <w:noProof/>
              </w:rPr>
              <w:t>1</w:t>
            </w:r>
            <w:r>
              <w:rPr>
                <w:noProof/>
              </w:rPr>
              <w:fldChar w:fldCharType="end"/>
            </w:r>
          </w:hyperlink>
        </w:p>
        <w:p w14:paraId="5F8501CE" w14:textId="38034780" w:rsidR="009D7C2B" w:rsidRDefault="009D7C2B">
          <w:pPr>
            <w:pStyle w:val="TOC1"/>
            <w:tabs>
              <w:tab w:val="right" w:leader="dot" w:pos="10070"/>
            </w:tabs>
            <w:rPr>
              <w:noProof/>
            </w:rPr>
          </w:pPr>
          <w:hyperlink w:anchor="_Toc226561765" w:history="1">
            <w:r w:rsidRPr="008A402A">
              <w:rPr>
                <w:rStyle w:val="Hyperlink"/>
                <w:noProof/>
              </w:rPr>
              <w:t>2. South Africa</w:t>
            </w:r>
            <w:r>
              <w:rPr>
                <w:noProof/>
              </w:rPr>
              <w:tab/>
            </w:r>
            <w:r>
              <w:rPr>
                <w:noProof/>
              </w:rPr>
              <w:fldChar w:fldCharType="begin"/>
            </w:r>
            <w:r>
              <w:rPr>
                <w:noProof/>
              </w:rPr>
              <w:instrText xml:space="preserve"> PAGEREF _Toc226561765 \h </w:instrText>
            </w:r>
            <w:r>
              <w:rPr>
                <w:noProof/>
              </w:rPr>
            </w:r>
            <w:r>
              <w:rPr>
                <w:noProof/>
              </w:rPr>
              <w:fldChar w:fldCharType="separate"/>
            </w:r>
            <w:r>
              <w:rPr>
                <w:noProof/>
              </w:rPr>
              <w:t>1</w:t>
            </w:r>
            <w:r>
              <w:rPr>
                <w:noProof/>
              </w:rPr>
              <w:fldChar w:fldCharType="end"/>
            </w:r>
          </w:hyperlink>
        </w:p>
        <w:p w14:paraId="0CA31CF2" w14:textId="12B18766" w:rsidR="009D7C2B" w:rsidRDefault="009D7C2B">
          <w:pPr>
            <w:pStyle w:val="TOC2"/>
            <w:tabs>
              <w:tab w:val="right" w:leader="dot" w:pos="10070"/>
            </w:tabs>
            <w:rPr>
              <w:noProof/>
            </w:rPr>
          </w:pPr>
          <w:hyperlink w:anchor="_Toc226561766" w:history="1">
            <w:r w:rsidRPr="008A402A">
              <w:rPr>
                <w:rStyle w:val="Hyperlink"/>
                <w:noProof/>
              </w:rPr>
              <w:t>2.1 Policy Context</w:t>
            </w:r>
            <w:r>
              <w:rPr>
                <w:noProof/>
              </w:rPr>
              <w:tab/>
            </w:r>
            <w:r>
              <w:rPr>
                <w:noProof/>
              </w:rPr>
              <w:fldChar w:fldCharType="begin"/>
            </w:r>
            <w:r>
              <w:rPr>
                <w:noProof/>
              </w:rPr>
              <w:instrText xml:space="preserve"> PAGEREF _Toc226561766 \h </w:instrText>
            </w:r>
            <w:r>
              <w:rPr>
                <w:noProof/>
              </w:rPr>
            </w:r>
            <w:r>
              <w:rPr>
                <w:noProof/>
              </w:rPr>
              <w:fldChar w:fldCharType="separate"/>
            </w:r>
            <w:r>
              <w:rPr>
                <w:noProof/>
              </w:rPr>
              <w:t>1</w:t>
            </w:r>
            <w:r>
              <w:rPr>
                <w:noProof/>
              </w:rPr>
              <w:fldChar w:fldCharType="end"/>
            </w:r>
          </w:hyperlink>
        </w:p>
        <w:p w14:paraId="689A32F9" w14:textId="11B949FB" w:rsidR="009D7C2B" w:rsidRDefault="009D7C2B">
          <w:pPr>
            <w:pStyle w:val="TOC2"/>
            <w:tabs>
              <w:tab w:val="right" w:leader="dot" w:pos="10070"/>
            </w:tabs>
            <w:rPr>
              <w:noProof/>
            </w:rPr>
          </w:pPr>
          <w:hyperlink w:anchor="_Toc226561767" w:history="1">
            <w:r w:rsidRPr="008A402A">
              <w:rPr>
                <w:rStyle w:val="Hyperlink"/>
                <w:noProof/>
              </w:rPr>
              <w:t>2.2 Scenario S1 — Full Decarbonization (ZA-S1)</w:t>
            </w:r>
            <w:r>
              <w:rPr>
                <w:noProof/>
              </w:rPr>
              <w:tab/>
            </w:r>
            <w:r>
              <w:rPr>
                <w:noProof/>
              </w:rPr>
              <w:fldChar w:fldCharType="begin"/>
            </w:r>
            <w:r>
              <w:rPr>
                <w:noProof/>
              </w:rPr>
              <w:instrText xml:space="preserve"> PAGEREF _Toc226561767 \h </w:instrText>
            </w:r>
            <w:r>
              <w:rPr>
                <w:noProof/>
              </w:rPr>
            </w:r>
            <w:r>
              <w:rPr>
                <w:noProof/>
              </w:rPr>
              <w:fldChar w:fldCharType="separate"/>
            </w:r>
            <w:r>
              <w:rPr>
                <w:noProof/>
              </w:rPr>
              <w:t>1</w:t>
            </w:r>
            <w:r>
              <w:rPr>
                <w:noProof/>
              </w:rPr>
              <w:fldChar w:fldCharType="end"/>
            </w:r>
          </w:hyperlink>
        </w:p>
        <w:p w14:paraId="7EA26A19" w14:textId="1FEECE9B" w:rsidR="009D7C2B" w:rsidRDefault="009D7C2B">
          <w:pPr>
            <w:pStyle w:val="TOC2"/>
            <w:tabs>
              <w:tab w:val="right" w:leader="dot" w:pos="10070"/>
            </w:tabs>
            <w:rPr>
              <w:noProof/>
            </w:rPr>
          </w:pPr>
          <w:hyperlink w:anchor="_Toc226561768" w:history="1">
            <w:r w:rsidRPr="008A402A">
              <w:rPr>
                <w:rStyle w:val="Hyperlink"/>
                <w:noProof/>
              </w:rPr>
              <w:t>2.3 Scenario S2 — National Policy Target (ZA-S2)</w:t>
            </w:r>
            <w:r>
              <w:rPr>
                <w:noProof/>
              </w:rPr>
              <w:tab/>
            </w:r>
            <w:r>
              <w:rPr>
                <w:noProof/>
              </w:rPr>
              <w:fldChar w:fldCharType="begin"/>
            </w:r>
            <w:r>
              <w:rPr>
                <w:noProof/>
              </w:rPr>
              <w:instrText xml:space="preserve"> PAGEREF _Toc226561768 \h </w:instrText>
            </w:r>
            <w:r>
              <w:rPr>
                <w:noProof/>
              </w:rPr>
            </w:r>
            <w:r>
              <w:rPr>
                <w:noProof/>
              </w:rPr>
              <w:fldChar w:fldCharType="separate"/>
            </w:r>
            <w:r>
              <w:rPr>
                <w:noProof/>
              </w:rPr>
              <w:t>1</w:t>
            </w:r>
            <w:r>
              <w:rPr>
                <w:noProof/>
              </w:rPr>
              <w:fldChar w:fldCharType="end"/>
            </w:r>
          </w:hyperlink>
        </w:p>
        <w:p w14:paraId="37CD33A6" w14:textId="5F6EC284" w:rsidR="009D7C2B" w:rsidRDefault="009D7C2B">
          <w:pPr>
            <w:pStyle w:val="TOC1"/>
            <w:tabs>
              <w:tab w:val="right" w:leader="dot" w:pos="10070"/>
            </w:tabs>
            <w:rPr>
              <w:noProof/>
            </w:rPr>
          </w:pPr>
          <w:hyperlink w:anchor="_Toc226561769" w:history="1">
            <w:r w:rsidRPr="008A402A">
              <w:rPr>
                <w:rStyle w:val="Hyperlink"/>
                <w:noProof/>
              </w:rPr>
              <w:t>3. India</w:t>
            </w:r>
            <w:r>
              <w:rPr>
                <w:noProof/>
              </w:rPr>
              <w:tab/>
            </w:r>
            <w:r>
              <w:rPr>
                <w:noProof/>
              </w:rPr>
              <w:fldChar w:fldCharType="begin"/>
            </w:r>
            <w:r>
              <w:rPr>
                <w:noProof/>
              </w:rPr>
              <w:instrText xml:space="preserve"> PAGEREF _Toc226561769 \h </w:instrText>
            </w:r>
            <w:r>
              <w:rPr>
                <w:noProof/>
              </w:rPr>
            </w:r>
            <w:r>
              <w:rPr>
                <w:noProof/>
              </w:rPr>
              <w:fldChar w:fldCharType="separate"/>
            </w:r>
            <w:r>
              <w:rPr>
                <w:noProof/>
              </w:rPr>
              <w:t>1</w:t>
            </w:r>
            <w:r>
              <w:rPr>
                <w:noProof/>
              </w:rPr>
              <w:fldChar w:fldCharType="end"/>
            </w:r>
          </w:hyperlink>
        </w:p>
        <w:p w14:paraId="564336CD" w14:textId="43159EA3" w:rsidR="009D7C2B" w:rsidRDefault="009D7C2B">
          <w:pPr>
            <w:pStyle w:val="TOC2"/>
            <w:tabs>
              <w:tab w:val="right" w:leader="dot" w:pos="10070"/>
            </w:tabs>
            <w:rPr>
              <w:noProof/>
            </w:rPr>
          </w:pPr>
          <w:hyperlink w:anchor="_Toc226561770" w:history="1">
            <w:r w:rsidRPr="008A402A">
              <w:rPr>
                <w:rStyle w:val="Hyperlink"/>
                <w:noProof/>
              </w:rPr>
              <w:t>3.1 Policy Context</w:t>
            </w:r>
            <w:r>
              <w:rPr>
                <w:noProof/>
              </w:rPr>
              <w:tab/>
            </w:r>
            <w:r>
              <w:rPr>
                <w:noProof/>
              </w:rPr>
              <w:fldChar w:fldCharType="begin"/>
            </w:r>
            <w:r>
              <w:rPr>
                <w:noProof/>
              </w:rPr>
              <w:instrText xml:space="preserve"> PAGEREF _Toc226561770 \h </w:instrText>
            </w:r>
            <w:r>
              <w:rPr>
                <w:noProof/>
              </w:rPr>
            </w:r>
            <w:r>
              <w:rPr>
                <w:noProof/>
              </w:rPr>
              <w:fldChar w:fldCharType="separate"/>
            </w:r>
            <w:r>
              <w:rPr>
                <w:noProof/>
              </w:rPr>
              <w:t>1</w:t>
            </w:r>
            <w:r>
              <w:rPr>
                <w:noProof/>
              </w:rPr>
              <w:fldChar w:fldCharType="end"/>
            </w:r>
          </w:hyperlink>
        </w:p>
        <w:p w14:paraId="6B9A4BF5" w14:textId="03894659" w:rsidR="009D7C2B" w:rsidRDefault="009D7C2B">
          <w:pPr>
            <w:pStyle w:val="TOC2"/>
            <w:tabs>
              <w:tab w:val="right" w:leader="dot" w:pos="10070"/>
            </w:tabs>
            <w:rPr>
              <w:noProof/>
            </w:rPr>
          </w:pPr>
          <w:hyperlink w:anchor="_Toc226561771" w:history="1">
            <w:r w:rsidRPr="008A402A">
              <w:rPr>
                <w:rStyle w:val="Hyperlink"/>
                <w:noProof/>
              </w:rPr>
              <w:t>3.2 Scenario S1 — Full Decarbonization (IN-S1)</w:t>
            </w:r>
            <w:r>
              <w:rPr>
                <w:noProof/>
              </w:rPr>
              <w:tab/>
            </w:r>
            <w:r>
              <w:rPr>
                <w:noProof/>
              </w:rPr>
              <w:fldChar w:fldCharType="begin"/>
            </w:r>
            <w:r>
              <w:rPr>
                <w:noProof/>
              </w:rPr>
              <w:instrText xml:space="preserve"> PAGEREF _Toc226561771 \h </w:instrText>
            </w:r>
            <w:r>
              <w:rPr>
                <w:noProof/>
              </w:rPr>
            </w:r>
            <w:r>
              <w:rPr>
                <w:noProof/>
              </w:rPr>
              <w:fldChar w:fldCharType="separate"/>
            </w:r>
            <w:r>
              <w:rPr>
                <w:noProof/>
              </w:rPr>
              <w:t>1</w:t>
            </w:r>
            <w:r>
              <w:rPr>
                <w:noProof/>
              </w:rPr>
              <w:fldChar w:fldCharType="end"/>
            </w:r>
          </w:hyperlink>
        </w:p>
        <w:p w14:paraId="1960EF04" w14:textId="2B3648D2" w:rsidR="009D7C2B" w:rsidRDefault="009D7C2B">
          <w:pPr>
            <w:pStyle w:val="TOC2"/>
            <w:tabs>
              <w:tab w:val="right" w:leader="dot" w:pos="10070"/>
            </w:tabs>
            <w:rPr>
              <w:noProof/>
            </w:rPr>
          </w:pPr>
          <w:hyperlink w:anchor="_Toc226561772" w:history="1">
            <w:r w:rsidRPr="008A402A">
              <w:rPr>
                <w:rStyle w:val="Hyperlink"/>
                <w:noProof/>
              </w:rPr>
              <w:t>3.3 Scenario S2 — National Policy Target (IN-S2)</w:t>
            </w:r>
            <w:r>
              <w:rPr>
                <w:noProof/>
              </w:rPr>
              <w:tab/>
            </w:r>
            <w:r>
              <w:rPr>
                <w:noProof/>
              </w:rPr>
              <w:fldChar w:fldCharType="begin"/>
            </w:r>
            <w:r>
              <w:rPr>
                <w:noProof/>
              </w:rPr>
              <w:instrText xml:space="preserve"> PAGEREF _Toc226561772 \h </w:instrText>
            </w:r>
            <w:r>
              <w:rPr>
                <w:noProof/>
              </w:rPr>
            </w:r>
            <w:r>
              <w:rPr>
                <w:noProof/>
              </w:rPr>
              <w:fldChar w:fldCharType="separate"/>
            </w:r>
            <w:r>
              <w:rPr>
                <w:noProof/>
              </w:rPr>
              <w:t>1</w:t>
            </w:r>
            <w:r>
              <w:rPr>
                <w:noProof/>
              </w:rPr>
              <w:fldChar w:fldCharType="end"/>
            </w:r>
          </w:hyperlink>
        </w:p>
        <w:p w14:paraId="36BE2D6B" w14:textId="441038D6" w:rsidR="009D7C2B" w:rsidRDefault="009D7C2B">
          <w:pPr>
            <w:pStyle w:val="TOC1"/>
            <w:tabs>
              <w:tab w:val="right" w:leader="dot" w:pos="10070"/>
            </w:tabs>
            <w:rPr>
              <w:noProof/>
            </w:rPr>
          </w:pPr>
          <w:hyperlink w:anchor="_Toc226561773" w:history="1">
            <w:r w:rsidRPr="008A402A">
              <w:rPr>
                <w:rStyle w:val="Hyperlink"/>
                <w:noProof/>
              </w:rPr>
              <w:t>4. Brazil</w:t>
            </w:r>
            <w:r>
              <w:rPr>
                <w:noProof/>
              </w:rPr>
              <w:tab/>
            </w:r>
            <w:r>
              <w:rPr>
                <w:noProof/>
              </w:rPr>
              <w:fldChar w:fldCharType="begin"/>
            </w:r>
            <w:r>
              <w:rPr>
                <w:noProof/>
              </w:rPr>
              <w:instrText xml:space="preserve"> PAGEREF _Toc226561773 \h </w:instrText>
            </w:r>
            <w:r>
              <w:rPr>
                <w:noProof/>
              </w:rPr>
            </w:r>
            <w:r>
              <w:rPr>
                <w:noProof/>
              </w:rPr>
              <w:fldChar w:fldCharType="separate"/>
            </w:r>
            <w:r>
              <w:rPr>
                <w:noProof/>
              </w:rPr>
              <w:t>1</w:t>
            </w:r>
            <w:r>
              <w:rPr>
                <w:noProof/>
              </w:rPr>
              <w:fldChar w:fldCharType="end"/>
            </w:r>
          </w:hyperlink>
        </w:p>
        <w:p w14:paraId="38E127DB" w14:textId="589B2F17" w:rsidR="009D7C2B" w:rsidRDefault="009D7C2B">
          <w:pPr>
            <w:pStyle w:val="TOC2"/>
            <w:tabs>
              <w:tab w:val="right" w:leader="dot" w:pos="10070"/>
            </w:tabs>
            <w:rPr>
              <w:noProof/>
            </w:rPr>
          </w:pPr>
          <w:hyperlink w:anchor="_Toc226561774" w:history="1">
            <w:r w:rsidRPr="008A402A">
              <w:rPr>
                <w:rStyle w:val="Hyperlink"/>
                <w:noProof/>
              </w:rPr>
              <w:t>4.1 Policy Context</w:t>
            </w:r>
            <w:r>
              <w:rPr>
                <w:noProof/>
              </w:rPr>
              <w:tab/>
            </w:r>
            <w:r>
              <w:rPr>
                <w:noProof/>
              </w:rPr>
              <w:fldChar w:fldCharType="begin"/>
            </w:r>
            <w:r>
              <w:rPr>
                <w:noProof/>
              </w:rPr>
              <w:instrText xml:space="preserve"> PAGEREF _Toc226561774 \h </w:instrText>
            </w:r>
            <w:r>
              <w:rPr>
                <w:noProof/>
              </w:rPr>
            </w:r>
            <w:r>
              <w:rPr>
                <w:noProof/>
              </w:rPr>
              <w:fldChar w:fldCharType="separate"/>
            </w:r>
            <w:r>
              <w:rPr>
                <w:noProof/>
              </w:rPr>
              <w:t>1</w:t>
            </w:r>
            <w:r>
              <w:rPr>
                <w:noProof/>
              </w:rPr>
              <w:fldChar w:fldCharType="end"/>
            </w:r>
          </w:hyperlink>
        </w:p>
        <w:p w14:paraId="30C2C910" w14:textId="13482B02" w:rsidR="009D7C2B" w:rsidRDefault="009D7C2B">
          <w:pPr>
            <w:pStyle w:val="TOC2"/>
            <w:tabs>
              <w:tab w:val="right" w:leader="dot" w:pos="10070"/>
            </w:tabs>
            <w:rPr>
              <w:noProof/>
            </w:rPr>
          </w:pPr>
          <w:hyperlink w:anchor="_Toc226561775" w:history="1">
            <w:r w:rsidRPr="008A402A">
              <w:rPr>
                <w:rStyle w:val="Hyperlink"/>
                <w:noProof/>
              </w:rPr>
              <w:t>4.2 Scenario S1 — Full Decarbonization (BR-S1)</w:t>
            </w:r>
            <w:r>
              <w:rPr>
                <w:noProof/>
              </w:rPr>
              <w:tab/>
            </w:r>
            <w:r>
              <w:rPr>
                <w:noProof/>
              </w:rPr>
              <w:fldChar w:fldCharType="begin"/>
            </w:r>
            <w:r>
              <w:rPr>
                <w:noProof/>
              </w:rPr>
              <w:instrText xml:space="preserve"> PAGEREF _Toc226561775 \h </w:instrText>
            </w:r>
            <w:r>
              <w:rPr>
                <w:noProof/>
              </w:rPr>
            </w:r>
            <w:r>
              <w:rPr>
                <w:noProof/>
              </w:rPr>
              <w:fldChar w:fldCharType="separate"/>
            </w:r>
            <w:r>
              <w:rPr>
                <w:noProof/>
              </w:rPr>
              <w:t>1</w:t>
            </w:r>
            <w:r>
              <w:rPr>
                <w:noProof/>
              </w:rPr>
              <w:fldChar w:fldCharType="end"/>
            </w:r>
          </w:hyperlink>
        </w:p>
        <w:p w14:paraId="3BA82FBF" w14:textId="5CA6A607" w:rsidR="009D7C2B" w:rsidRDefault="009D7C2B">
          <w:pPr>
            <w:pStyle w:val="TOC2"/>
            <w:tabs>
              <w:tab w:val="right" w:leader="dot" w:pos="10070"/>
            </w:tabs>
            <w:rPr>
              <w:noProof/>
            </w:rPr>
          </w:pPr>
          <w:hyperlink w:anchor="_Toc226561776" w:history="1">
            <w:r w:rsidRPr="008A402A">
              <w:rPr>
                <w:rStyle w:val="Hyperlink"/>
                <w:noProof/>
              </w:rPr>
              <w:t>4.3 Scenario S2 — National Policy Target (BR-S2)</w:t>
            </w:r>
            <w:r>
              <w:rPr>
                <w:noProof/>
              </w:rPr>
              <w:tab/>
            </w:r>
            <w:r>
              <w:rPr>
                <w:noProof/>
              </w:rPr>
              <w:fldChar w:fldCharType="begin"/>
            </w:r>
            <w:r>
              <w:rPr>
                <w:noProof/>
              </w:rPr>
              <w:instrText xml:space="preserve"> PAGEREF _Toc226561776 \h </w:instrText>
            </w:r>
            <w:r>
              <w:rPr>
                <w:noProof/>
              </w:rPr>
            </w:r>
            <w:r>
              <w:rPr>
                <w:noProof/>
              </w:rPr>
              <w:fldChar w:fldCharType="separate"/>
            </w:r>
            <w:r>
              <w:rPr>
                <w:noProof/>
              </w:rPr>
              <w:t>1</w:t>
            </w:r>
            <w:r>
              <w:rPr>
                <w:noProof/>
              </w:rPr>
              <w:fldChar w:fldCharType="end"/>
            </w:r>
          </w:hyperlink>
        </w:p>
        <w:p w14:paraId="3E3C906C" w14:textId="22C34D7B" w:rsidR="009D7C2B" w:rsidRDefault="009D7C2B">
          <w:pPr>
            <w:pStyle w:val="TOC1"/>
            <w:tabs>
              <w:tab w:val="right" w:leader="dot" w:pos="10070"/>
            </w:tabs>
            <w:rPr>
              <w:noProof/>
            </w:rPr>
          </w:pPr>
          <w:hyperlink w:anchor="_Toc226561777" w:history="1">
            <w:r w:rsidRPr="008A402A">
              <w:rPr>
                <w:rStyle w:val="Hyperlink"/>
                <w:noProof/>
              </w:rPr>
              <w:t>5. Rest of Africa (WF Region)</w:t>
            </w:r>
            <w:r>
              <w:rPr>
                <w:noProof/>
              </w:rPr>
              <w:tab/>
            </w:r>
            <w:r>
              <w:rPr>
                <w:noProof/>
              </w:rPr>
              <w:fldChar w:fldCharType="begin"/>
            </w:r>
            <w:r>
              <w:rPr>
                <w:noProof/>
              </w:rPr>
              <w:instrText xml:space="preserve"> PAGEREF _Toc226561777 \h </w:instrText>
            </w:r>
            <w:r>
              <w:rPr>
                <w:noProof/>
              </w:rPr>
            </w:r>
            <w:r>
              <w:rPr>
                <w:noProof/>
              </w:rPr>
              <w:fldChar w:fldCharType="separate"/>
            </w:r>
            <w:r>
              <w:rPr>
                <w:noProof/>
              </w:rPr>
              <w:t>1</w:t>
            </w:r>
            <w:r>
              <w:rPr>
                <w:noProof/>
              </w:rPr>
              <w:fldChar w:fldCharType="end"/>
            </w:r>
          </w:hyperlink>
        </w:p>
        <w:p w14:paraId="347D5780" w14:textId="03E68537" w:rsidR="009D7C2B" w:rsidRDefault="009D7C2B">
          <w:pPr>
            <w:pStyle w:val="TOC2"/>
            <w:tabs>
              <w:tab w:val="right" w:leader="dot" w:pos="10070"/>
            </w:tabs>
            <w:rPr>
              <w:noProof/>
            </w:rPr>
          </w:pPr>
          <w:hyperlink w:anchor="_Toc226561778" w:history="1">
            <w:r w:rsidRPr="008A402A">
              <w:rPr>
                <w:rStyle w:val="Hyperlink"/>
                <w:noProof/>
              </w:rPr>
              <w:t>5.1 Policy Context</w:t>
            </w:r>
            <w:r>
              <w:rPr>
                <w:noProof/>
              </w:rPr>
              <w:tab/>
            </w:r>
            <w:r>
              <w:rPr>
                <w:noProof/>
              </w:rPr>
              <w:fldChar w:fldCharType="begin"/>
            </w:r>
            <w:r>
              <w:rPr>
                <w:noProof/>
              </w:rPr>
              <w:instrText xml:space="preserve"> PAGEREF _Toc226561778 \h </w:instrText>
            </w:r>
            <w:r>
              <w:rPr>
                <w:noProof/>
              </w:rPr>
            </w:r>
            <w:r>
              <w:rPr>
                <w:noProof/>
              </w:rPr>
              <w:fldChar w:fldCharType="separate"/>
            </w:r>
            <w:r>
              <w:rPr>
                <w:noProof/>
              </w:rPr>
              <w:t>1</w:t>
            </w:r>
            <w:r>
              <w:rPr>
                <w:noProof/>
              </w:rPr>
              <w:fldChar w:fldCharType="end"/>
            </w:r>
          </w:hyperlink>
        </w:p>
        <w:p w14:paraId="4792A24A" w14:textId="067BED87" w:rsidR="009D7C2B" w:rsidRDefault="009D7C2B">
          <w:pPr>
            <w:pStyle w:val="TOC2"/>
            <w:tabs>
              <w:tab w:val="right" w:leader="dot" w:pos="10070"/>
            </w:tabs>
            <w:rPr>
              <w:noProof/>
            </w:rPr>
          </w:pPr>
          <w:hyperlink w:anchor="_Toc226561779" w:history="1">
            <w:r w:rsidRPr="008A402A">
              <w:rPr>
                <w:rStyle w:val="Hyperlink"/>
                <w:noProof/>
              </w:rPr>
              <w:t>5.2 Scenario S1 — Full Decarbonization (WF-S1)</w:t>
            </w:r>
            <w:r>
              <w:rPr>
                <w:noProof/>
              </w:rPr>
              <w:tab/>
            </w:r>
            <w:r>
              <w:rPr>
                <w:noProof/>
              </w:rPr>
              <w:fldChar w:fldCharType="begin"/>
            </w:r>
            <w:r>
              <w:rPr>
                <w:noProof/>
              </w:rPr>
              <w:instrText xml:space="preserve"> PAGEREF _Toc226561779 \h </w:instrText>
            </w:r>
            <w:r>
              <w:rPr>
                <w:noProof/>
              </w:rPr>
            </w:r>
            <w:r>
              <w:rPr>
                <w:noProof/>
              </w:rPr>
              <w:fldChar w:fldCharType="separate"/>
            </w:r>
            <w:r>
              <w:rPr>
                <w:noProof/>
              </w:rPr>
              <w:t>1</w:t>
            </w:r>
            <w:r>
              <w:rPr>
                <w:noProof/>
              </w:rPr>
              <w:fldChar w:fldCharType="end"/>
            </w:r>
          </w:hyperlink>
        </w:p>
        <w:p w14:paraId="5F68D416" w14:textId="41F08825" w:rsidR="009D7C2B" w:rsidRDefault="009D7C2B">
          <w:pPr>
            <w:pStyle w:val="TOC2"/>
            <w:tabs>
              <w:tab w:val="right" w:leader="dot" w:pos="10070"/>
            </w:tabs>
            <w:rPr>
              <w:noProof/>
            </w:rPr>
          </w:pPr>
          <w:hyperlink w:anchor="_Toc226561780" w:history="1">
            <w:r w:rsidRPr="008A402A">
              <w:rPr>
                <w:rStyle w:val="Hyperlink"/>
                <w:noProof/>
              </w:rPr>
              <w:t>5.3 Scenario S2 — National Policy Target (WF-S2)</w:t>
            </w:r>
            <w:r>
              <w:rPr>
                <w:noProof/>
              </w:rPr>
              <w:tab/>
            </w:r>
            <w:r>
              <w:rPr>
                <w:noProof/>
              </w:rPr>
              <w:fldChar w:fldCharType="begin"/>
            </w:r>
            <w:r>
              <w:rPr>
                <w:noProof/>
              </w:rPr>
              <w:instrText xml:space="preserve"> PAGEREF _Toc226561780 \h </w:instrText>
            </w:r>
            <w:r>
              <w:rPr>
                <w:noProof/>
              </w:rPr>
            </w:r>
            <w:r>
              <w:rPr>
                <w:noProof/>
              </w:rPr>
              <w:fldChar w:fldCharType="separate"/>
            </w:r>
            <w:r>
              <w:rPr>
                <w:noProof/>
              </w:rPr>
              <w:t>1</w:t>
            </w:r>
            <w:r>
              <w:rPr>
                <w:noProof/>
              </w:rPr>
              <w:fldChar w:fldCharType="end"/>
            </w:r>
          </w:hyperlink>
        </w:p>
        <w:p w14:paraId="539D3CB6" w14:textId="7BDF2DA8" w:rsidR="009D7C2B" w:rsidRDefault="009D7C2B">
          <w:pPr>
            <w:pStyle w:val="TOC1"/>
            <w:tabs>
              <w:tab w:val="right" w:leader="dot" w:pos="10070"/>
            </w:tabs>
            <w:rPr>
              <w:noProof/>
            </w:rPr>
          </w:pPr>
          <w:hyperlink w:anchor="_Toc226561781" w:history="1">
            <w:r w:rsidRPr="008A402A">
              <w:rPr>
                <w:rStyle w:val="Hyperlink"/>
                <w:noProof/>
              </w:rPr>
              <w:t>6. Rest of Middle East (WM Region)</w:t>
            </w:r>
            <w:r>
              <w:rPr>
                <w:noProof/>
              </w:rPr>
              <w:tab/>
            </w:r>
            <w:r>
              <w:rPr>
                <w:noProof/>
              </w:rPr>
              <w:fldChar w:fldCharType="begin"/>
            </w:r>
            <w:r>
              <w:rPr>
                <w:noProof/>
              </w:rPr>
              <w:instrText xml:space="preserve"> PAGEREF _Toc226561781 \h </w:instrText>
            </w:r>
            <w:r>
              <w:rPr>
                <w:noProof/>
              </w:rPr>
            </w:r>
            <w:r>
              <w:rPr>
                <w:noProof/>
              </w:rPr>
              <w:fldChar w:fldCharType="separate"/>
            </w:r>
            <w:r>
              <w:rPr>
                <w:noProof/>
              </w:rPr>
              <w:t>1</w:t>
            </w:r>
            <w:r>
              <w:rPr>
                <w:noProof/>
              </w:rPr>
              <w:fldChar w:fldCharType="end"/>
            </w:r>
          </w:hyperlink>
        </w:p>
        <w:p w14:paraId="522F0176" w14:textId="39DC5727" w:rsidR="009D7C2B" w:rsidRDefault="009D7C2B">
          <w:pPr>
            <w:pStyle w:val="TOC2"/>
            <w:tabs>
              <w:tab w:val="right" w:leader="dot" w:pos="10070"/>
            </w:tabs>
            <w:rPr>
              <w:noProof/>
            </w:rPr>
          </w:pPr>
          <w:hyperlink w:anchor="_Toc226561782" w:history="1">
            <w:r w:rsidRPr="008A402A">
              <w:rPr>
                <w:rStyle w:val="Hyperlink"/>
                <w:noProof/>
              </w:rPr>
              <w:t>6.1 Policy Context</w:t>
            </w:r>
            <w:r>
              <w:rPr>
                <w:noProof/>
              </w:rPr>
              <w:tab/>
            </w:r>
            <w:r>
              <w:rPr>
                <w:noProof/>
              </w:rPr>
              <w:fldChar w:fldCharType="begin"/>
            </w:r>
            <w:r>
              <w:rPr>
                <w:noProof/>
              </w:rPr>
              <w:instrText xml:space="preserve"> PAGEREF _Toc226561782 \h </w:instrText>
            </w:r>
            <w:r>
              <w:rPr>
                <w:noProof/>
              </w:rPr>
            </w:r>
            <w:r>
              <w:rPr>
                <w:noProof/>
              </w:rPr>
              <w:fldChar w:fldCharType="separate"/>
            </w:r>
            <w:r>
              <w:rPr>
                <w:noProof/>
              </w:rPr>
              <w:t>1</w:t>
            </w:r>
            <w:r>
              <w:rPr>
                <w:noProof/>
              </w:rPr>
              <w:fldChar w:fldCharType="end"/>
            </w:r>
          </w:hyperlink>
        </w:p>
        <w:p w14:paraId="7057E28E" w14:textId="37461C84" w:rsidR="009D7C2B" w:rsidRDefault="009D7C2B">
          <w:pPr>
            <w:pStyle w:val="TOC2"/>
            <w:tabs>
              <w:tab w:val="right" w:leader="dot" w:pos="10070"/>
            </w:tabs>
            <w:rPr>
              <w:noProof/>
            </w:rPr>
          </w:pPr>
          <w:hyperlink w:anchor="_Toc226561783" w:history="1">
            <w:r w:rsidRPr="008A402A">
              <w:rPr>
                <w:rStyle w:val="Hyperlink"/>
                <w:noProof/>
              </w:rPr>
              <w:t>6.2 Scenario S1 — Full Decarbonization (WM-S1)</w:t>
            </w:r>
            <w:r>
              <w:rPr>
                <w:noProof/>
              </w:rPr>
              <w:tab/>
            </w:r>
            <w:r>
              <w:rPr>
                <w:noProof/>
              </w:rPr>
              <w:fldChar w:fldCharType="begin"/>
            </w:r>
            <w:r>
              <w:rPr>
                <w:noProof/>
              </w:rPr>
              <w:instrText xml:space="preserve"> PAGEREF _Toc226561783 \h </w:instrText>
            </w:r>
            <w:r>
              <w:rPr>
                <w:noProof/>
              </w:rPr>
            </w:r>
            <w:r>
              <w:rPr>
                <w:noProof/>
              </w:rPr>
              <w:fldChar w:fldCharType="separate"/>
            </w:r>
            <w:r>
              <w:rPr>
                <w:noProof/>
              </w:rPr>
              <w:t>1</w:t>
            </w:r>
            <w:r>
              <w:rPr>
                <w:noProof/>
              </w:rPr>
              <w:fldChar w:fldCharType="end"/>
            </w:r>
          </w:hyperlink>
        </w:p>
        <w:p w14:paraId="769B67DB" w14:textId="59986272" w:rsidR="009D7C2B" w:rsidRDefault="009D7C2B">
          <w:pPr>
            <w:pStyle w:val="TOC2"/>
            <w:tabs>
              <w:tab w:val="right" w:leader="dot" w:pos="10070"/>
            </w:tabs>
            <w:rPr>
              <w:noProof/>
            </w:rPr>
          </w:pPr>
          <w:hyperlink w:anchor="_Toc226561784" w:history="1">
            <w:r w:rsidRPr="008A402A">
              <w:rPr>
                <w:rStyle w:val="Hyperlink"/>
                <w:noProof/>
              </w:rPr>
              <w:t>6.3 Scenario S2 — National Policy Target (WM-S2)</w:t>
            </w:r>
            <w:r>
              <w:rPr>
                <w:noProof/>
              </w:rPr>
              <w:tab/>
            </w:r>
            <w:r>
              <w:rPr>
                <w:noProof/>
              </w:rPr>
              <w:fldChar w:fldCharType="begin"/>
            </w:r>
            <w:r>
              <w:rPr>
                <w:noProof/>
              </w:rPr>
              <w:instrText xml:space="preserve"> PAGEREF _Toc226561784 \h </w:instrText>
            </w:r>
            <w:r>
              <w:rPr>
                <w:noProof/>
              </w:rPr>
            </w:r>
            <w:r>
              <w:rPr>
                <w:noProof/>
              </w:rPr>
              <w:fldChar w:fldCharType="separate"/>
            </w:r>
            <w:r>
              <w:rPr>
                <w:noProof/>
              </w:rPr>
              <w:t>1</w:t>
            </w:r>
            <w:r>
              <w:rPr>
                <w:noProof/>
              </w:rPr>
              <w:fldChar w:fldCharType="end"/>
            </w:r>
          </w:hyperlink>
        </w:p>
        <w:p w14:paraId="42EC2994" w14:textId="5D4FB5B5" w:rsidR="009D7C2B" w:rsidRDefault="009D7C2B">
          <w:pPr>
            <w:pStyle w:val="TOC1"/>
            <w:tabs>
              <w:tab w:val="right" w:leader="dot" w:pos="10070"/>
            </w:tabs>
            <w:rPr>
              <w:noProof/>
            </w:rPr>
          </w:pPr>
          <w:hyperlink w:anchor="_Toc226561785" w:history="1">
            <w:r w:rsidRPr="008A402A">
              <w:rPr>
                <w:rStyle w:val="Hyperlink"/>
                <w:noProof/>
              </w:rPr>
              <w:t>7. MARIO Model Implementation Guide</w:t>
            </w:r>
            <w:r>
              <w:rPr>
                <w:noProof/>
              </w:rPr>
              <w:tab/>
            </w:r>
            <w:r>
              <w:rPr>
                <w:noProof/>
              </w:rPr>
              <w:fldChar w:fldCharType="begin"/>
            </w:r>
            <w:r>
              <w:rPr>
                <w:noProof/>
              </w:rPr>
              <w:instrText xml:space="preserve"> PAGEREF _Toc226561785 \h </w:instrText>
            </w:r>
            <w:r>
              <w:rPr>
                <w:noProof/>
              </w:rPr>
            </w:r>
            <w:r>
              <w:rPr>
                <w:noProof/>
              </w:rPr>
              <w:fldChar w:fldCharType="separate"/>
            </w:r>
            <w:r>
              <w:rPr>
                <w:noProof/>
              </w:rPr>
              <w:t>1</w:t>
            </w:r>
            <w:r>
              <w:rPr>
                <w:noProof/>
              </w:rPr>
              <w:fldChar w:fldCharType="end"/>
            </w:r>
          </w:hyperlink>
        </w:p>
        <w:p w14:paraId="7903F7B1" w14:textId="0FCF3FA4" w:rsidR="009D7C2B" w:rsidRDefault="009D7C2B">
          <w:pPr>
            <w:pStyle w:val="TOC2"/>
            <w:tabs>
              <w:tab w:val="right" w:leader="dot" w:pos="10070"/>
            </w:tabs>
            <w:rPr>
              <w:noProof/>
            </w:rPr>
          </w:pPr>
          <w:hyperlink w:anchor="_Toc226561786" w:history="1">
            <w:r w:rsidRPr="008A402A">
              <w:rPr>
                <w:rStyle w:val="Hyperlink"/>
                <w:noProof/>
              </w:rPr>
              <w:t>7.1 Shock File Structure</w:t>
            </w:r>
            <w:r>
              <w:rPr>
                <w:noProof/>
              </w:rPr>
              <w:tab/>
            </w:r>
            <w:r>
              <w:rPr>
                <w:noProof/>
              </w:rPr>
              <w:fldChar w:fldCharType="begin"/>
            </w:r>
            <w:r>
              <w:rPr>
                <w:noProof/>
              </w:rPr>
              <w:instrText xml:space="preserve"> PAGEREF _Toc226561786 \h </w:instrText>
            </w:r>
            <w:r>
              <w:rPr>
                <w:noProof/>
              </w:rPr>
            </w:r>
            <w:r>
              <w:rPr>
                <w:noProof/>
              </w:rPr>
              <w:fldChar w:fldCharType="separate"/>
            </w:r>
            <w:r>
              <w:rPr>
                <w:noProof/>
              </w:rPr>
              <w:t>1</w:t>
            </w:r>
            <w:r>
              <w:rPr>
                <w:noProof/>
              </w:rPr>
              <w:fldChar w:fldCharType="end"/>
            </w:r>
          </w:hyperlink>
        </w:p>
        <w:p w14:paraId="284234D8" w14:textId="7010E235" w:rsidR="009D7C2B" w:rsidRDefault="009D7C2B">
          <w:pPr>
            <w:pStyle w:val="TOC2"/>
            <w:tabs>
              <w:tab w:val="right" w:leader="dot" w:pos="10070"/>
            </w:tabs>
            <w:rPr>
              <w:noProof/>
            </w:rPr>
          </w:pPr>
          <w:hyperlink w:anchor="_Toc226561787" w:history="1">
            <w:r w:rsidRPr="008A402A">
              <w:rPr>
                <w:rStyle w:val="Hyperlink"/>
                <w:noProof/>
              </w:rPr>
              <w:t>7.2 Shock Parameter Conventions</w:t>
            </w:r>
            <w:r>
              <w:rPr>
                <w:noProof/>
              </w:rPr>
              <w:tab/>
            </w:r>
            <w:r>
              <w:rPr>
                <w:noProof/>
              </w:rPr>
              <w:fldChar w:fldCharType="begin"/>
            </w:r>
            <w:r>
              <w:rPr>
                <w:noProof/>
              </w:rPr>
              <w:instrText xml:space="preserve"> PAGEREF _Toc226561787 \h </w:instrText>
            </w:r>
            <w:r>
              <w:rPr>
                <w:noProof/>
              </w:rPr>
            </w:r>
            <w:r>
              <w:rPr>
                <w:noProof/>
              </w:rPr>
              <w:fldChar w:fldCharType="separate"/>
            </w:r>
            <w:r>
              <w:rPr>
                <w:noProof/>
              </w:rPr>
              <w:t>1</w:t>
            </w:r>
            <w:r>
              <w:rPr>
                <w:noProof/>
              </w:rPr>
              <w:fldChar w:fldCharType="end"/>
            </w:r>
          </w:hyperlink>
        </w:p>
        <w:p w14:paraId="0EF1F98B" w14:textId="1D9310BC" w:rsidR="009D7C2B" w:rsidRDefault="009D7C2B">
          <w:pPr>
            <w:pStyle w:val="TOC2"/>
            <w:tabs>
              <w:tab w:val="right" w:leader="dot" w:pos="10070"/>
            </w:tabs>
            <w:rPr>
              <w:noProof/>
            </w:rPr>
          </w:pPr>
          <w:hyperlink w:anchor="_Toc226561788" w:history="1">
            <w:r w:rsidRPr="008A402A">
              <w:rPr>
                <w:rStyle w:val="Hyperlink"/>
                <w:noProof/>
              </w:rPr>
              <w:t>7.3 Calibration Approach</w:t>
            </w:r>
            <w:r>
              <w:rPr>
                <w:noProof/>
              </w:rPr>
              <w:tab/>
            </w:r>
            <w:r>
              <w:rPr>
                <w:noProof/>
              </w:rPr>
              <w:fldChar w:fldCharType="begin"/>
            </w:r>
            <w:r>
              <w:rPr>
                <w:noProof/>
              </w:rPr>
              <w:instrText xml:space="preserve"> PAGEREF _Toc226561788 \h </w:instrText>
            </w:r>
            <w:r>
              <w:rPr>
                <w:noProof/>
              </w:rPr>
            </w:r>
            <w:r>
              <w:rPr>
                <w:noProof/>
              </w:rPr>
              <w:fldChar w:fldCharType="separate"/>
            </w:r>
            <w:r>
              <w:rPr>
                <w:noProof/>
              </w:rPr>
              <w:t>1</w:t>
            </w:r>
            <w:r>
              <w:rPr>
                <w:noProof/>
              </w:rPr>
              <w:fldChar w:fldCharType="end"/>
            </w:r>
          </w:hyperlink>
        </w:p>
        <w:p w14:paraId="73FF1060" w14:textId="49F6FBF7" w:rsidR="009D7C2B" w:rsidRDefault="009D7C2B">
          <w:pPr>
            <w:pStyle w:val="TOC2"/>
            <w:tabs>
              <w:tab w:val="right" w:leader="dot" w:pos="10070"/>
            </w:tabs>
            <w:rPr>
              <w:noProof/>
            </w:rPr>
          </w:pPr>
          <w:hyperlink w:anchor="_Toc226561789" w:history="1">
            <w:r w:rsidRPr="008A402A">
              <w:rPr>
                <w:rStyle w:val="Hyperlink"/>
                <w:noProof/>
              </w:rPr>
              <w:t>7.4 Scenario Summary Table</w:t>
            </w:r>
            <w:r>
              <w:rPr>
                <w:noProof/>
              </w:rPr>
              <w:tab/>
            </w:r>
            <w:r>
              <w:rPr>
                <w:noProof/>
              </w:rPr>
              <w:fldChar w:fldCharType="begin"/>
            </w:r>
            <w:r>
              <w:rPr>
                <w:noProof/>
              </w:rPr>
              <w:instrText xml:space="preserve"> PAGEREF _Toc226561789 \h </w:instrText>
            </w:r>
            <w:r>
              <w:rPr>
                <w:noProof/>
              </w:rPr>
            </w:r>
            <w:r>
              <w:rPr>
                <w:noProof/>
              </w:rPr>
              <w:fldChar w:fldCharType="separate"/>
            </w:r>
            <w:r>
              <w:rPr>
                <w:noProof/>
              </w:rPr>
              <w:t>1</w:t>
            </w:r>
            <w:r>
              <w:rPr>
                <w:noProof/>
              </w:rPr>
              <w:fldChar w:fldCharType="end"/>
            </w:r>
          </w:hyperlink>
        </w:p>
        <w:p w14:paraId="1B242CA3" w14:textId="13D1DCFF" w:rsidR="009D7C2B" w:rsidRDefault="009D7C2B">
          <w:pPr>
            <w:pStyle w:val="TOC2"/>
            <w:tabs>
              <w:tab w:val="right" w:leader="dot" w:pos="10070"/>
            </w:tabs>
            <w:rPr>
              <w:noProof/>
            </w:rPr>
          </w:pPr>
          <w:hyperlink w:anchor="_Toc226561790" w:history="1">
            <w:r w:rsidRPr="008A402A">
              <w:rPr>
                <w:rStyle w:val="Hyperlink"/>
                <w:noProof/>
              </w:rPr>
              <w:t>7.5 Key Modelling Assumptions and Limitations</w:t>
            </w:r>
            <w:r>
              <w:rPr>
                <w:noProof/>
              </w:rPr>
              <w:tab/>
            </w:r>
            <w:r>
              <w:rPr>
                <w:noProof/>
              </w:rPr>
              <w:fldChar w:fldCharType="begin"/>
            </w:r>
            <w:r>
              <w:rPr>
                <w:noProof/>
              </w:rPr>
              <w:instrText xml:space="preserve"> PAGEREF _Toc226561790 \h </w:instrText>
            </w:r>
            <w:r>
              <w:rPr>
                <w:noProof/>
              </w:rPr>
            </w:r>
            <w:r>
              <w:rPr>
                <w:noProof/>
              </w:rPr>
              <w:fldChar w:fldCharType="separate"/>
            </w:r>
            <w:r>
              <w:rPr>
                <w:noProof/>
              </w:rPr>
              <w:t>1</w:t>
            </w:r>
            <w:r>
              <w:rPr>
                <w:noProof/>
              </w:rPr>
              <w:fldChar w:fldCharType="end"/>
            </w:r>
          </w:hyperlink>
        </w:p>
        <w:p w14:paraId="55D12322" w14:textId="300D763B" w:rsidR="009D7C2B" w:rsidRDefault="009D7C2B">
          <w:pPr>
            <w:pStyle w:val="TOC1"/>
            <w:tabs>
              <w:tab w:val="right" w:leader="dot" w:pos="10070"/>
            </w:tabs>
            <w:rPr>
              <w:noProof/>
            </w:rPr>
          </w:pPr>
          <w:hyperlink w:anchor="_Toc226561791" w:history="1">
            <w:r w:rsidRPr="008A402A">
              <w:rPr>
                <w:rStyle w:val="Hyperlink"/>
                <w:noProof/>
              </w:rPr>
              <w:t>8. Key Sources and References</w:t>
            </w:r>
            <w:r>
              <w:rPr>
                <w:noProof/>
              </w:rPr>
              <w:tab/>
            </w:r>
            <w:r>
              <w:rPr>
                <w:noProof/>
              </w:rPr>
              <w:fldChar w:fldCharType="begin"/>
            </w:r>
            <w:r>
              <w:rPr>
                <w:noProof/>
              </w:rPr>
              <w:instrText xml:space="preserve"> PAGEREF _Toc226561791 \h </w:instrText>
            </w:r>
            <w:r>
              <w:rPr>
                <w:noProof/>
              </w:rPr>
            </w:r>
            <w:r>
              <w:rPr>
                <w:noProof/>
              </w:rPr>
              <w:fldChar w:fldCharType="separate"/>
            </w:r>
            <w:r>
              <w:rPr>
                <w:noProof/>
              </w:rPr>
              <w:t>1</w:t>
            </w:r>
            <w:r>
              <w:rPr>
                <w:noProof/>
              </w:rPr>
              <w:fldChar w:fldCharType="end"/>
            </w:r>
          </w:hyperlink>
        </w:p>
        <w:p w14:paraId="533DB8DA" w14:textId="5F447E38" w:rsidR="009D7C2B" w:rsidRDefault="009D7C2B">
          <w:pPr>
            <w:pStyle w:val="TOC2"/>
            <w:tabs>
              <w:tab w:val="right" w:leader="dot" w:pos="10070"/>
            </w:tabs>
            <w:rPr>
              <w:noProof/>
            </w:rPr>
          </w:pPr>
          <w:hyperlink w:anchor="_Toc226561792" w:history="1">
            <w:r w:rsidRPr="008A402A">
              <w:rPr>
                <w:rStyle w:val="Hyperlink"/>
                <w:noProof/>
              </w:rPr>
              <w:t>South Africa</w:t>
            </w:r>
            <w:r>
              <w:rPr>
                <w:noProof/>
              </w:rPr>
              <w:tab/>
            </w:r>
            <w:r>
              <w:rPr>
                <w:noProof/>
              </w:rPr>
              <w:fldChar w:fldCharType="begin"/>
            </w:r>
            <w:r>
              <w:rPr>
                <w:noProof/>
              </w:rPr>
              <w:instrText xml:space="preserve"> PAGEREF _Toc226561792 \h </w:instrText>
            </w:r>
            <w:r>
              <w:rPr>
                <w:noProof/>
              </w:rPr>
            </w:r>
            <w:r>
              <w:rPr>
                <w:noProof/>
              </w:rPr>
              <w:fldChar w:fldCharType="separate"/>
            </w:r>
            <w:r>
              <w:rPr>
                <w:noProof/>
              </w:rPr>
              <w:t>1</w:t>
            </w:r>
            <w:r>
              <w:rPr>
                <w:noProof/>
              </w:rPr>
              <w:fldChar w:fldCharType="end"/>
            </w:r>
          </w:hyperlink>
        </w:p>
        <w:p w14:paraId="01E95373" w14:textId="7D331E0C" w:rsidR="009D7C2B" w:rsidRDefault="009D7C2B">
          <w:pPr>
            <w:pStyle w:val="TOC2"/>
            <w:tabs>
              <w:tab w:val="right" w:leader="dot" w:pos="10070"/>
            </w:tabs>
            <w:rPr>
              <w:noProof/>
            </w:rPr>
          </w:pPr>
          <w:hyperlink w:anchor="_Toc226561793" w:history="1">
            <w:r w:rsidRPr="008A402A">
              <w:rPr>
                <w:rStyle w:val="Hyperlink"/>
                <w:noProof/>
              </w:rPr>
              <w:t>India</w:t>
            </w:r>
            <w:r>
              <w:rPr>
                <w:noProof/>
              </w:rPr>
              <w:tab/>
            </w:r>
            <w:r>
              <w:rPr>
                <w:noProof/>
              </w:rPr>
              <w:fldChar w:fldCharType="begin"/>
            </w:r>
            <w:r>
              <w:rPr>
                <w:noProof/>
              </w:rPr>
              <w:instrText xml:space="preserve"> PAGEREF _Toc226561793 \h </w:instrText>
            </w:r>
            <w:r>
              <w:rPr>
                <w:noProof/>
              </w:rPr>
            </w:r>
            <w:r>
              <w:rPr>
                <w:noProof/>
              </w:rPr>
              <w:fldChar w:fldCharType="separate"/>
            </w:r>
            <w:r>
              <w:rPr>
                <w:noProof/>
              </w:rPr>
              <w:t>1</w:t>
            </w:r>
            <w:r>
              <w:rPr>
                <w:noProof/>
              </w:rPr>
              <w:fldChar w:fldCharType="end"/>
            </w:r>
          </w:hyperlink>
        </w:p>
        <w:p w14:paraId="6F33047E" w14:textId="0D60D815" w:rsidR="009D7C2B" w:rsidRDefault="009D7C2B">
          <w:pPr>
            <w:pStyle w:val="TOC2"/>
            <w:tabs>
              <w:tab w:val="right" w:leader="dot" w:pos="10070"/>
            </w:tabs>
            <w:rPr>
              <w:noProof/>
            </w:rPr>
          </w:pPr>
          <w:hyperlink w:anchor="_Toc226561794" w:history="1">
            <w:r w:rsidRPr="008A402A">
              <w:rPr>
                <w:rStyle w:val="Hyperlink"/>
                <w:noProof/>
              </w:rPr>
              <w:t>Brazil</w:t>
            </w:r>
            <w:r>
              <w:rPr>
                <w:noProof/>
              </w:rPr>
              <w:tab/>
            </w:r>
            <w:r>
              <w:rPr>
                <w:noProof/>
              </w:rPr>
              <w:fldChar w:fldCharType="begin"/>
            </w:r>
            <w:r>
              <w:rPr>
                <w:noProof/>
              </w:rPr>
              <w:instrText xml:space="preserve"> PAGEREF _Toc226561794 \h </w:instrText>
            </w:r>
            <w:r>
              <w:rPr>
                <w:noProof/>
              </w:rPr>
            </w:r>
            <w:r>
              <w:rPr>
                <w:noProof/>
              </w:rPr>
              <w:fldChar w:fldCharType="separate"/>
            </w:r>
            <w:r>
              <w:rPr>
                <w:noProof/>
              </w:rPr>
              <w:t>1</w:t>
            </w:r>
            <w:r>
              <w:rPr>
                <w:noProof/>
              </w:rPr>
              <w:fldChar w:fldCharType="end"/>
            </w:r>
          </w:hyperlink>
        </w:p>
        <w:p w14:paraId="13404BF1" w14:textId="719035BB" w:rsidR="009D7C2B" w:rsidRDefault="009D7C2B">
          <w:pPr>
            <w:pStyle w:val="TOC2"/>
            <w:tabs>
              <w:tab w:val="right" w:leader="dot" w:pos="10070"/>
            </w:tabs>
            <w:rPr>
              <w:noProof/>
            </w:rPr>
          </w:pPr>
          <w:hyperlink w:anchor="_Toc226561795" w:history="1">
            <w:r w:rsidRPr="008A402A">
              <w:rPr>
                <w:rStyle w:val="Hyperlink"/>
                <w:noProof/>
              </w:rPr>
              <w:t>Rest of Africa</w:t>
            </w:r>
            <w:r>
              <w:rPr>
                <w:noProof/>
              </w:rPr>
              <w:tab/>
            </w:r>
            <w:r>
              <w:rPr>
                <w:noProof/>
              </w:rPr>
              <w:fldChar w:fldCharType="begin"/>
            </w:r>
            <w:r>
              <w:rPr>
                <w:noProof/>
              </w:rPr>
              <w:instrText xml:space="preserve"> PAGEREF _Toc226561795 \h </w:instrText>
            </w:r>
            <w:r>
              <w:rPr>
                <w:noProof/>
              </w:rPr>
            </w:r>
            <w:r>
              <w:rPr>
                <w:noProof/>
              </w:rPr>
              <w:fldChar w:fldCharType="separate"/>
            </w:r>
            <w:r>
              <w:rPr>
                <w:noProof/>
              </w:rPr>
              <w:t>1</w:t>
            </w:r>
            <w:r>
              <w:rPr>
                <w:noProof/>
              </w:rPr>
              <w:fldChar w:fldCharType="end"/>
            </w:r>
          </w:hyperlink>
        </w:p>
        <w:p w14:paraId="24AE11D4" w14:textId="3863A7A3" w:rsidR="009D7C2B" w:rsidRDefault="009D7C2B">
          <w:pPr>
            <w:pStyle w:val="TOC2"/>
            <w:tabs>
              <w:tab w:val="right" w:leader="dot" w:pos="10070"/>
            </w:tabs>
            <w:rPr>
              <w:noProof/>
            </w:rPr>
          </w:pPr>
          <w:hyperlink w:anchor="_Toc226561796" w:history="1">
            <w:r w:rsidRPr="008A402A">
              <w:rPr>
                <w:rStyle w:val="Hyperlink"/>
                <w:noProof/>
              </w:rPr>
              <w:t>Rest of Middle East</w:t>
            </w:r>
            <w:r>
              <w:rPr>
                <w:noProof/>
              </w:rPr>
              <w:tab/>
            </w:r>
            <w:r>
              <w:rPr>
                <w:noProof/>
              </w:rPr>
              <w:fldChar w:fldCharType="begin"/>
            </w:r>
            <w:r>
              <w:rPr>
                <w:noProof/>
              </w:rPr>
              <w:instrText xml:space="preserve"> PAGEREF _Toc226561796 \h </w:instrText>
            </w:r>
            <w:r>
              <w:rPr>
                <w:noProof/>
              </w:rPr>
            </w:r>
            <w:r>
              <w:rPr>
                <w:noProof/>
              </w:rPr>
              <w:fldChar w:fldCharType="separate"/>
            </w:r>
            <w:r>
              <w:rPr>
                <w:noProof/>
              </w:rPr>
              <w:t>1</w:t>
            </w:r>
            <w:r>
              <w:rPr>
                <w:noProof/>
              </w:rPr>
              <w:fldChar w:fldCharType="end"/>
            </w:r>
          </w:hyperlink>
        </w:p>
        <w:p w14:paraId="44EEAB1C" w14:textId="7192F5EB" w:rsidR="009D7C2B" w:rsidRDefault="009D7C2B">
          <w:pPr>
            <w:pStyle w:val="TOC2"/>
            <w:tabs>
              <w:tab w:val="right" w:leader="dot" w:pos="10070"/>
            </w:tabs>
            <w:rPr>
              <w:noProof/>
            </w:rPr>
          </w:pPr>
          <w:hyperlink w:anchor="_Toc226561797" w:history="1">
            <w:r w:rsidRPr="008A402A">
              <w:rPr>
                <w:rStyle w:val="Hyperlink"/>
                <w:noProof/>
              </w:rPr>
              <w:t>Modelling Methodology</w:t>
            </w:r>
            <w:r>
              <w:rPr>
                <w:noProof/>
              </w:rPr>
              <w:tab/>
            </w:r>
            <w:r>
              <w:rPr>
                <w:noProof/>
              </w:rPr>
              <w:fldChar w:fldCharType="begin"/>
            </w:r>
            <w:r>
              <w:rPr>
                <w:noProof/>
              </w:rPr>
              <w:instrText xml:space="preserve"> PAGEREF _Toc226561797 \h </w:instrText>
            </w:r>
            <w:r>
              <w:rPr>
                <w:noProof/>
              </w:rPr>
            </w:r>
            <w:r>
              <w:rPr>
                <w:noProof/>
              </w:rPr>
              <w:fldChar w:fldCharType="separate"/>
            </w:r>
            <w:r>
              <w:rPr>
                <w:noProof/>
              </w:rPr>
              <w:t>1</w:t>
            </w:r>
            <w:r>
              <w:rPr>
                <w:noProof/>
              </w:rPr>
              <w:fldChar w:fldCharType="end"/>
            </w:r>
          </w:hyperlink>
        </w:p>
        <w:p w14:paraId="65200EEB" w14:textId="13273AC0" w:rsidR="00E56E3B" w:rsidRDefault="009D7C2B">
          <w:r>
            <w:fldChar w:fldCharType="end"/>
          </w:r>
        </w:p>
      </w:sdtContent>
    </w:sdt>
    <w:p w14:paraId="65200EEC" w14:textId="77777777" w:rsidR="00E56E3B" w:rsidRDefault="009D7C2B">
      <w:r>
        <w:br w:type="page"/>
      </w:r>
    </w:p>
    <w:p w14:paraId="65200EED" w14:textId="77777777" w:rsidR="00E56E3B" w:rsidRDefault="009D7C2B">
      <w:pPr>
        <w:pStyle w:val="Heading1"/>
        <w:pBdr>
          <w:bottom w:val="single" w:sz="8" w:space="4" w:color="2E5FA3"/>
        </w:pBdr>
      </w:pPr>
      <w:bookmarkStart w:id="1" w:name="s1"/>
      <w:bookmarkStart w:id="2" w:name="_Toc226561761"/>
      <w:r>
        <w:lastRenderedPageBreak/>
        <w:t>1. Introduction and Modelling Context</w:t>
      </w:r>
      <w:bookmarkEnd w:id="1"/>
      <w:bookmarkEnd w:id="2"/>
    </w:p>
    <w:p w14:paraId="65200EEE" w14:textId="77777777" w:rsidR="00E56E3B" w:rsidRDefault="009D7C2B">
      <w:pPr>
        <w:spacing w:after="120"/>
      </w:pPr>
      <w:r>
        <w:rPr>
          <w:rFonts w:ascii="Arial" w:eastAsia="Arial" w:hAnsi="Arial" w:cs="Arial"/>
          <w:sz w:val="22"/>
          <w:szCs w:val="22"/>
        </w:rPr>
        <w:t>This document defines the scenario framework for the MARIO (Multi-Regional Input-Output) model, implemented using the Exiobase 3 multi-regional supply and use table (MSUT). The scenarios are designed to quantify the economic and environmental consequences of energy sector decarbonization across five strategically selected geographies: South Africa, India, Brazil, Rest of Africa, and Rest of the Middle East.</w:t>
      </w:r>
    </w:p>
    <w:p w14:paraId="65200EEF" w14:textId="77777777" w:rsidR="00E56E3B" w:rsidRDefault="009D7C2B">
      <w:pPr>
        <w:spacing w:after="120"/>
      </w:pPr>
      <w:r>
        <w:rPr>
          <w:rFonts w:ascii="Arial" w:eastAsia="Arial" w:hAnsi="Arial" w:cs="Arial"/>
          <w:sz w:val="22"/>
          <w:szCs w:val="22"/>
        </w:rPr>
        <w:t>Each geography is assigned two scenarios: (i) a stylized full decarbonization shock representing an upper-bound 100% renewable transition, and (ii) a policy-aligned scenario grounded in the most recent national and regional climate commitments (2023–2025). Both scenarios are translated into MARIO-compatible "shocks" — numerical adjustments to the technical coefficient matrix (A-matrix), satellite extension intensities, and final demand vectors within Exiobase.</w:t>
      </w:r>
    </w:p>
    <w:p w14:paraId="65200EF0" w14:textId="77777777" w:rsidR="00E56E3B" w:rsidRDefault="00E56E3B">
      <w:pPr>
        <w:spacing w:after="80"/>
      </w:pPr>
    </w:p>
    <w:p w14:paraId="65200EF1" w14:textId="77777777" w:rsidR="00E56E3B" w:rsidRDefault="009D7C2B">
      <w:pPr>
        <w:pStyle w:val="Heading2"/>
      </w:pPr>
      <w:bookmarkStart w:id="3" w:name="_Toc226561762"/>
      <w:r>
        <w:t>1.1 The MARIO Model</w:t>
      </w:r>
      <w:bookmarkEnd w:id="3"/>
    </w:p>
    <w:p w14:paraId="65200EF2" w14:textId="77777777" w:rsidR="00E56E3B" w:rsidRDefault="009D7C2B">
      <w:pPr>
        <w:spacing w:after="120"/>
      </w:pPr>
      <w:r>
        <w:rPr>
          <w:rFonts w:ascii="Arial" w:eastAsia="Arial" w:hAnsi="Arial" w:cs="Arial"/>
          <w:sz w:val="22"/>
          <w:szCs w:val="22"/>
        </w:rPr>
        <w:t>MARIO (Modelling And Research on Input-Output) is an open-source Python library developed for multi-regional input-output analysis. It enables scenario analysis through the implementation of "shocks" — perturbations to the baseline economic structure that represent structural changes in technology, policy, or behaviour. The model operates on the Leontief demand-pull or Ghosh supply-push framework and supports satellite account analysis for environmental pressures (CO2 emissions, energy use, material inputs)</w:t>
      </w:r>
      <w:r>
        <w:rPr>
          <w:rFonts w:ascii="Arial" w:eastAsia="Arial" w:hAnsi="Arial" w:cs="Arial"/>
          <w:sz w:val="22"/>
          <w:szCs w:val="22"/>
        </w:rPr>
        <w:t>.</w:t>
      </w:r>
    </w:p>
    <w:p w14:paraId="65200EF3" w14:textId="77777777" w:rsidR="00E56E3B" w:rsidRDefault="00E56E3B">
      <w:pPr>
        <w:spacing w:after="80"/>
      </w:pPr>
    </w:p>
    <w:p w14:paraId="65200EF4" w14:textId="77777777" w:rsidR="00E56E3B" w:rsidRDefault="009D7C2B">
      <w:pPr>
        <w:pStyle w:val="Heading2"/>
      </w:pPr>
      <w:bookmarkStart w:id="4" w:name="_Toc226561763"/>
      <w:r>
        <w:t>1.2 Exiobase 3 and Energy Sectors</w:t>
      </w:r>
      <w:bookmarkEnd w:id="4"/>
    </w:p>
    <w:p w14:paraId="65200EF5" w14:textId="77777777" w:rsidR="00E56E3B" w:rsidRDefault="009D7C2B">
      <w:pPr>
        <w:spacing w:after="120"/>
      </w:pPr>
      <w:r>
        <w:rPr>
          <w:rFonts w:ascii="Arial" w:eastAsia="Arial" w:hAnsi="Arial" w:cs="Arial"/>
          <w:sz w:val="22"/>
          <w:szCs w:val="22"/>
        </w:rPr>
        <w:t>Exiobase 3 covers 49 countries and 5 rest-of-world regions, with 163 industries and 200 products per region. The energy sectors most relevant to this analysis include:</w:t>
      </w:r>
    </w:p>
    <w:p w14:paraId="65200EF6" w14:textId="77777777" w:rsidR="00E56E3B" w:rsidRDefault="009D7C2B">
      <w:pPr>
        <w:pStyle w:val="ListParagraph"/>
        <w:numPr>
          <w:ilvl w:val="0"/>
          <w:numId w:val="2"/>
        </w:numPr>
        <w:spacing w:after="60"/>
      </w:pPr>
      <w:r>
        <w:rPr>
          <w:rFonts w:ascii="Arial" w:eastAsia="Arial" w:hAnsi="Arial" w:cs="Arial"/>
          <w:sz w:val="22"/>
          <w:szCs w:val="22"/>
        </w:rPr>
        <w:t>Electricity by coal</w:t>
      </w:r>
    </w:p>
    <w:p w14:paraId="65200EF7" w14:textId="77777777" w:rsidR="00E56E3B" w:rsidRDefault="009D7C2B">
      <w:pPr>
        <w:pStyle w:val="ListParagraph"/>
        <w:numPr>
          <w:ilvl w:val="0"/>
          <w:numId w:val="2"/>
        </w:numPr>
        <w:spacing w:after="60"/>
      </w:pPr>
      <w:r>
        <w:rPr>
          <w:rFonts w:ascii="Arial" w:eastAsia="Arial" w:hAnsi="Arial" w:cs="Arial"/>
          <w:sz w:val="22"/>
          <w:szCs w:val="22"/>
        </w:rPr>
        <w:t>Electricity by gas</w:t>
      </w:r>
    </w:p>
    <w:p w14:paraId="65200EF8" w14:textId="77777777" w:rsidR="00E56E3B" w:rsidRDefault="009D7C2B">
      <w:pPr>
        <w:pStyle w:val="ListParagraph"/>
        <w:numPr>
          <w:ilvl w:val="0"/>
          <w:numId w:val="2"/>
        </w:numPr>
        <w:spacing w:after="60"/>
      </w:pPr>
      <w:r>
        <w:rPr>
          <w:rFonts w:ascii="Arial" w:eastAsia="Arial" w:hAnsi="Arial" w:cs="Arial"/>
          <w:sz w:val="22"/>
          <w:szCs w:val="22"/>
        </w:rPr>
        <w:t>Electricity by nuclear</w:t>
      </w:r>
    </w:p>
    <w:p w14:paraId="65200EF9" w14:textId="77777777" w:rsidR="00E56E3B" w:rsidRDefault="009D7C2B">
      <w:pPr>
        <w:pStyle w:val="ListParagraph"/>
        <w:numPr>
          <w:ilvl w:val="0"/>
          <w:numId w:val="2"/>
        </w:numPr>
        <w:spacing w:after="60"/>
      </w:pPr>
      <w:r>
        <w:rPr>
          <w:rFonts w:ascii="Arial" w:eastAsia="Arial" w:hAnsi="Arial" w:cs="Arial"/>
          <w:sz w:val="22"/>
          <w:szCs w:val="22"/>
        </w:rPr>
        <w:t>Electricity by hydro</w:t>
      </w:r>
    </w:p>
    <w:p w14:paraId="65200EFA" w14:textId="77777777" w:rsidR="00E56E3B" w:rsidRDefault="009D7C2B">
      <w:pPr>
        <w:pStyle w:val="ListParagraph"/>
        <w:numPr>
          <w:ilvl w:val="0"/>
          <w:numId w:val="2"/>
        </w:numPr>
        <w:spacing w:after="60"/>
      </w:pPr>
      <w:r>
        <w:rPr>
          <w:rFonts w:ascii="Arial" w:eastAsia="Arial" w:hAnsi="Arial" w:cs="Arial"/>
          <w:sz w:val="22"/>
          <w:szCs w:val="22"/>
        </w:rPr>
        <w:t>Electricity by wind</w:t>
      </w:r>
    </w:p>
    <w:p w14:paraId="65200EFB" w14:textId="77777777" w:rsidR="00E56E3B" w:rsidRDefault="009D7C2B">
      <w:pPr>
        <w:pStyle w:val="ListParagraph"/>
        <w:numPr>
          <w:ilvl w:val="0"/>
          <w:numId w:val="2"/>
        </w:numPr>
        <w:spacing w:after="60"/>
      </w:pPr>
      <w:r>
        <w:rPr>
          <w:rFonts w:ascii="Arial" w:eastAsia="Arial" w:hAnsi="Arial" w:cs="Arial"/>
          <w:sz w:val="22"/>
          <w:szCs w:val="22"/>
        </w:rPr>
        <w:t>Electricity by solar photovoltaic</w:t>
      </w:r>
    </w:p>
    <w:p w14:paraId="65200EFC" w14:textId="77777777" w:rsidR="00E56E3B" w:rsidRDefault="009D7C2B">
      <w:pPr>
        <w:pStyle w:val="ListParagraph"/>
        <w:numPr>
          <w:ilvl w:val="0"/>
          <w:numId w:val="2"/>
        </w:numPr>
        <w:spacing w:after="60"/>
      </w:pPr>
      <w:r>
        <w:rPr>
          <w:rFonts w:ascii="Arial" w:eastAsia="Arial" w:hAnsi="Arial" w:cs="Arial"/>
          <w:sz w:val="22"/>
          <w:szCs w:val="22"/>
        </w:rPr>
        <w:t>Electricity by biomass and waste</w:t>
      </w:r>
    </w:p>
    <w:p w14:paraId="65200EFD" w14:textId="77777777" w:rsidR="00E56E3B" w:rsidRDefault="009D7C2B">
      <w:pPr>
        <w:pStyle w:val="ListParagraph"/>
        <w:numPr>
          <w:ilvl w:val="0"/>
          <w:numId w:val="2"/>
        </w:numPr>
        <w:spacing w:after="60"/>
      </w:pPr>
      <w:r>
        <w:rPr>
          <w:rFonts w:ascii="Arial" w:eastAsia="Arial" w:hAnsi="Arial" w:cs="Arial"/>
          <w:sz w:val="22"/>
          <w:szCs w:val="22"/>
        </w:rPr>
        <w:t>Electricity by oil</w:t>
      </w:r>
    </w:p>
    <w:p w14:paraId="65200EFE" w14:textId="77777777" w:rsidR="00E56E3B" w:rsidRDefault="009D7C2B">
      <w:pPr>
        <w:pStyle w:val="ListParagraph"/>
        <w:numPr>
          <w:ilvl w:val="0"/>
          <w:numId w:val="2"/>
        </w:numPr>
        <w:spacing w:after="60"/>
      </w:pPr>
      <w:r>
        <w:rPr>
          <w:rFonts w:ascii="Arial" w:eastAsia="Arial" w:hAnsi="Arial" w:cs="Arial"/>
          <w:sz w:val="22"/>
          <w:szCs w:val="22"/>
        </w:rPr>
        <w:t>Electricity nec (other)</w:t>
      </w:r>
    </w:p>
    <w:p w14:paraId="65200EFF" w14:textId="77777777" w:rsidR="00E56E3B" w:rsidRDefault="009D7C2B">
      <w:pPr>
        <w:spacing w:after="120"/>
      </w:pPr>
      <w:r>
        <w:rPr>
          <w:rFonts w:ascii="Arial" w:eastAsia="Arial" w:hAnsi="Arial" w:cs="Arial"/>
          <w:sz w:val="22"/>
          <w:szCs w:val="22"/>
        </w:rPr>
        <w:t>Scenarios are implemented by modifying the inter-industry technical coefficients for these sectors (reducing fossil-based shares and increasing renewable shares) and adjusting the CO2/energy satellite extensions accordingly.</w:t>
      </w:r>
    </w:p>
    <w:p w14:paraId="65200F00" w14:textId="77777777" w:rsidR="00E56E3B" w:rsidRDefault="00E56E3B">
      <w:pPr>
        <w:spacing w:after="80"/>
      </w:pPr>
    </w:p>
    <w:p w14:paraId="65200F01" w14:textId="77777777" w:rsidR="00E56E3B" w:rsidRDefault="009D7C2B">
      <w:pPr>
        <w:pStyle w:val="Heading2"/>
      </w:pPr>
      <w:bookmarkStart w:id="5" w:name="_Toc226561764"/>
      <w:r>
        <w:t>1.3 Shock Implementation Logic in MARIO</w:t>
      </w:r>
      <w:bookmarkEnd w:id="5"/>
    </w:p>
    <w:p w14:paraId="65200F02" w14:textId="77777777" w:rsidR="00E56E3B" w:rsidRDefault="009D7C2B">
      <w:pPr>
        <w:spacing w:after="120"/>
      </w:pPr>
      <w:r>
        <w:rPr>
          <w:rFonts w:ascii="Arial" w:eastAsia="Arial" w:hAnsi="Arial" w:cs="Arial"/>
          <w:sz w:val="22"/>
          <w:szCs w:val="22"/>
        </w:rPr>
        <w:t>In MARIO, each scenario is defined by a shock file (Excel/CSV) that specifies changes to model parameters. The key shock types used in this framework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E56E3B" w14:paraId="65200F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0F03" w14:textId="77777777" w:rsidR="00E56E3B" w:rsidRDefault="009D7C2B">
            <w:r>
              <w:rPr>
                <w:rFonts w:ascii="Arial" w:eastAsia="Arial" w:hAnsi="Arial" w:cs="Arial"/>
                <w:b/>
                <w:bCs/>
                <w:color w:val="000000"/>
              </w:rPr>
              <w:t>Shock Type</w:t>
            </w:r>
          </w:p>
        </w:tc>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0F04" w14:textId="77777777" w:rsidR="00E56E3B" w:rsidRDefault="009D7C2B">
            <w:r>
              <w:rPr>
                <w:rFonts w:ascii="Arial" w:eastAsia="Arial" w:hAnsi="Arial" w:cs="Arial"/>
                <w:b/>
                <w:bCs/>
                <w:color w:val="000000"/>
              </w:rPr>
              <w:t>MARIO Parameter</w:t>
            </w:r>
          </w:p>
        </w:tc>
        <w:tc>
          <w:tcPr>
            <w:tcW w:w="45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0F05" w14:textId="77777777" w:rsidR="00E56E3B" w:rsidRDefault="009D7C2B">
            <w:r>
              <w:rPr>
                <w:rFonts w:ascii="Arial" w:eastAsia="Arial" w:hAnsi="Arial" w:cs="Arial"/>
                <w:b/>
                <w:bCs/>
                <w:color w:val="000000"/>
              </w:rPr>
              <w:t>Description</w:t>
            </w:r>
          </w:p>
        </w:tc>
      </w:tr>
      <w:tr w:rsidR="00E56E3B" w14:paraId="65200F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07" w14:textId="77777777" w:rsidR="00E56E3B" w:rsidRDefault="009D7C2B">
            <w:r>
              <w:rPr>
                <w:rFonts w:ascii="Arial" w:eastAsia="Arial" w:hAnsi="Arial" w:cs="Arial"/>
                <w:color w:val="000000"/>
              </w:rPr>
              <w:lastRenderedPageBreak/>
              <w:t>Technology shift</w:t>
            </w:r>
          </w:p>
        </w:tc>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08" w14:textId="77777777" w:rsidR="00E56E3B" w:rsidRDefault="009D7C2B">
            <w:r>
              <w:rPr>
                <w:rFonts w:ascii="Arial" w:eastAsia="Arial" w:hAnsi="Arial" w:cs="Arial"/>
                <w:color w:val="000000"/>
              </w:rPr>
              <w:t>Z matrix / A matrix</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09" w14:textId="77777777" w:rsidR="00E56E3B" w:rsidRDefault="009D7C2B">
            <w:r>
              <w:rPr>
                <w:rFonts w:ascii="Arial" w:eastAsia="Arial" w:hAnsi="Arial" w:cs="Arial"/>
                <w:color w:val="000000"/>
              </w:rPr>
              <w:t>Reallocate fossil electricity production to renewable alternatives (proportional substitution)</w:t>
            </w:r>
          </w:p>
        </w:tc>
      </w:tr>
      <w:tr w:rsidR="00E56E3B" w14:paraId="65200F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0B" w14:textId="77777777" w:rsidR="00E56E3B" w:rsidRDefault="009D7C2B">
            <w:r>
              <w:rPr>
                <w:rFonts w:ascii="Arial" w:eastAsia="Arial" w:hAnsi="Arial" w:cs="Arial"/>
                <w:color w:val="000000"/>
              </w:rPr>
              <w:t>Emission intensity</w:t>
            </w:r>
          </w:p>
        </w:tc>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0C" w14:textId="77777777" w:rsidR="00E56E3B" w:rsidRDefault="009D7C2B">
            <w:r>
              <w:rPr>
                <w:rFonts w:ascii="Arial" w:eastAsia="Arial" w:hAnsi="Arial" w:cs="Arial"/>
                <w:color w:val="000000"/>
              </w:rPr>
              <w:t>Satellite (E matrix)</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0D" w14:textId="77777777" w:rsidR="00E56E3B" w:rsidRDefault="009D7C2B">
            <w:r>
              <w:rPr>
                <w:rFonts w:ascii="Arial" w:eastAsia="Arial" w:hAnsi="Arial" w:cs="Arial"/>
                <w:color w:val="000000"/>
              </w:rPr>
              <w:t>Reduce CO2 emission coefficients for electricity sectors in proportion to fossil phase-out</w:t>
            </w:r>
          </w:p>
        </w:tc>
      </w:tr>
      <w:tr w:rsidR="00E56E3B" w14:paraId="65200F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0F" w14:textId="77777777" w:rsidR="00E56E3B" w:rsidRDefault="009D7C2B">
            <w:r>
              <w:rPr>
                <w:rFonts w:ascii="Arial" w:eastAsia="Arial" w:hAnsi="Arial" w:cs="Arial"/>
                <w:color w:val="000000"/>
              </w:rPr>
              <w:t>Capacity addition</w:t>
            </w:r>
          </w:p>
        </w:tc>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10" w14:textId="77777777" w:rsidR="00E56E3B" w:rsidRDefault="009D7C2B">
            <w:r>
              <w:rPr>
                <w:rFonts w:ascii="Arial" w:eastAsia="Arial" w:hAnsi="Arial" w:cs="Arial"/>
                <w:color w:val="000000"/>
              </w:rPr>
              <w:t>Final demand (Y)</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11" w14:textId="77777777" w:rsidR="00E56E3B" w:rsidRDefault="009D7C2B">
            <w:r>
              <w:rPr>
                <w:rFonts w:ascii="Arial" w:eastAsia="Arial" w:hAnsi="Arial" w:cs="Arial"/>
                <w:color w:val="000000"/>
              </w:rPr>
              <w:t>Increase capital investment demand for renewable generation equipment and grid infrastructure</w:t>
            </w:r>
          </w:p>
        </w:tc>
      </w:tr>
      <w:tr w:rsidR="00E56E3B" w14:paraId="65200F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13" w14:textId="77777777" w:rsidR="00E56E3B" w:rsidRDefault="009D7C2B">
            <w:r>
              <w:rPr>
                <w:rFonts w:ascii="Arial" w:eastAsia="Arial" w:hAnsi="Arial" w:cs="Arial"/>
                <w:color w:val="000000"/>
              </w:rPr>
              <w:t>Fuel use intensity</w:t>
            </w:r>
          </w:p>
        </w:tc>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14" w14:textId="77777777" w:rsidR="00E56E3B" w:rsidRDefault="009D7C2B">
            <w:r>
              <w:rPr>
                <w:rFonts w:ascii="Arial" w:eastAsia="Arial" w:hAnsi="Arial" w:cs="Arial"/>
                <w:color w:val="000000"/>
              </w:rPr>
              <w:t>A matrix (energy rows)</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15" w14:textId="77777777" w:rsidR="00E56E3B" w:rsidRDefault="009D7C2B">
            <w:r>
              <w:rPr>
                <w:rFonts w:ascii="Arial" w:eastAsia="Arial" w:hAnsi="Arial" w:cs="Arial"/>
                <w:color w:val="000000"/>
              </w:rPr>
              <w:t>Reduce coal/gas/oil input per unit of electricity produced in fossil sectors being phased down</w:t>
            </w:r>
          </w:p>
        </w:tc>
      </w:tr>
    </w:tbl>
    <w:p w14:paraId="65200F17" w14:textId="77777777" w:rsidR="00E56E3B" w:rsidRDefault="009D7C2B">
      <w:r>
        <w:br w:type="page"/>
      </w:r>
    </w:p>
    <w:p w14:paraId="65200F18" w14:textId="77777777" w:rsidR="00E56E3B" w:rsidRDefault="009D7C2B">
      <w:pPr>
        <w:pStyle w:val="Heading1"/>
        <w:pBdr>
          <w:bottom w:val="single" w:sz="8" w:space="4" w:color="2E5FA3"/>
        </w:pBdr>
      </w:pPr>
      <w:bookmarkStart w:id="6" w:name="s2"/>
      <w:bookmarkStart w:id="7" w:name="_Toc226561765"/>
      <w:r>
        <w:lastRenderedPageBreak/>
        <w:t>2. South Africa</w:t>
      </w:r>
      <w:bookmarkEnd w:id="6"/>
      <w:bookmarkEnd w:id="7"/>
    </w:p>
    <w:p w14:paraId="65200F19" w14:textId="77777777" w:rsidR="00E56E3B" w:rsidRDefault="009D7C2B">
      <w:pPr>
        <w:pStyle w:val="Heading2"/>
      </w:pPr>
      <w:bookmarkStart w:id="8" w:name="_Toc226561766"/>
      <w:r>
        <w:t>2.1 Policy Context</w:t>
      </w:r>
      <w:bookmarkEnd w:id="8"/>
    </w:p>
    <w:p w14:paraId="65200F1A" w14:textId="77777777" w:rsidR="00E56E3B" w:rsidRDefault="009D7C2B">
      <w:pPr>
        <w:spacing w:after="120"/>
      </w:pPr>
      <w:r>
        <w:rPr>
          <w:rFonts w:ascii="Arial" w:eastAsia="Arial" w:hAnsi="Arial" w:cs="Arial"/>
          <w:sz w:val="22"/>
          <w:szCs w:val="22"/>
        </w:rPr>
        <w:t>South Africa is the world's most carbon-intensive major economy relative to GDP, and the African continent's largest emitter. Its electricity system is dominated by coal (approximately 83% of generation in 2023), operated predominantly by the state utility Eskom. South Africa has committed to a significant energy transition through its Integrated Resource Plan (IRP 2023), the landmark Climate Change Act (2024), and the Just Energy Transition Partnership (JETP) with a $9.3 billion international funding packa</w:t>
      </w:r>
      <w:r>
        <w:rPr>
          <w:rFonts w:ascii="Arial" w:eastAsia="Arial" w:hAnsi="Arial" w:cs="Arial"/>
          <w:sz w:val="22"/>
          <w:szCs w:val="22"/>
        </w:rPr>
        <w:t>ge.</w:t>
      </w:r>
    </w:p>
    <w:p w14:paraId="65200F1B" w14:textId="77777777" w:rsidR="00E56E3B" w:rsidRDefault="00E56E3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56E3B" w14:paraId="65200F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0F1C" w14:textId="77777777" w:rsidR="00E56E3B" w:rsidRDefault="009D7C2B">
            <w:r>
              <w:rPr>
                <w:rFonts w:ascii="Arial" w:eastAsia="Arial" w:hAnsi="Arial" w:cs="Arial"/>
                <w:b/>
                <w:bCs/>
                <w:color w:val="000000"/>
              </w:rPr>
              <w:t>Policy Document</w:t>
            </w:r>
          </w:p>
        </w:tc>
        <w:tc>
          <w:tcPr>
            <w:tcW w:w="65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0F1D" w14:textId="77777777" w:rsidR="00E56E3B" w:rsidRDefault="009D7C2B">
            <w:r>
              <w:rPr>
                <w:rFonts w:ascii="Arial" w:eastAsia="Arial" w:hAnsi="Arial" w:cs="Arial"/>
                <w:b/>
                <w:bCs/>
                <w:color w:val="000000"/>
              </w:rPr>
              <w:t>Key Targets</w:t>
            </w:r>
          </w:p>
        </w:tc>
      </w:tr>
      <w:tr w:rsidR="00E56E3B" w14:paraId="65200F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1F" w14:textId="77777777" w:rsidR="00E56E3B" w:rsidRDefault="009D7C2B">
            <w:r>
              <w:rPr>
                <w:rFonts w:ascii="Arial" w:eastAsia="Arial" w:hAnsi="Arial" w:cs="Arial"/>
                <w:b/>
                <w:bCs/>
                <w:color w:val="000000"/>
              </w:rPr>
              <w:t>Second NDC (Oct 2025)</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20" w14:textId="77777777" w:rsidR="00E56E3B" w:rsidRDefault="009D7C2B">
            <w:r>
              <w:rPr>
                <w:rFonts w:ascii="Arial" w:eastAsia="Arial" w:hAnsi="Arial" w:cs="Arial"/>
                <w:color w:val="000000"/>
              </w:rPr>
              <w:t>350–420 MtCO2e by 2030; 320–380 MtCO2e by 2035</w:t>
            </w:r>
          </w:p>
        </w:tc>
      </w:tr>
      <w:tr w:rsidR="00E56E3B" w14:paraId="65200F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22" w14:textId="77777777" w:rsidR="00E56E3B" w:rsidRDefault="009D7C2B">
            <w:r>
              <w:rPr>
                <w:rFonts w:ascii="Arial" w:eastAsia="Arial" w:hAnsi="Arial" w:cs="Arial"/>
                <w:b/>
                <w:bCs/>
                <w:color w:val="000000"/>
              </w:rPr>
              <w:t>IRP 2023</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23" w14:textId="77777777" w:rsidR="00E56E3B" w:rsidRDefault="009D7C2B">
            <w:r>
              <w:rPr>
                <w:rFonts w:ascii="Arial" w:eastAsia="Arial" w:hAnsi="Arial" w:cs="Arial"/>
                <w:color w:val="000000"/>
              </w:rPr>
              <w:t>22% renewable electricity by 2030; 29.3 GW new capacity; no new coal beyond current construction</w:t>
            </w:r>
          </w:p>
        </w:tc>
      </w:tr>
      <w:tr w:rsidR="00E56E3B" w14:paraId="65200F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25" w14:textId="77777777" w:rsidR="00E56E3B" w:rsidRDefault="009D7C2B">
            <w:r>
              <w:rPr>
                <w:rFonts w:ascii="Arial" w:eastAsia="Arial" w:hAnsi="Arial" w:cs="Arial"/>
                <w:b/>
                <w:bCs/>
                <w:color w:val="000000"/>
              </w:rPr>
              <w:t>Climate Change Act 2024</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26" w14:textId="77777777" w:rsidR="00E56E3B" w:rsidRDefault="009D7C2B">
            <w:r>
              <w:rPr>
                <w:rFonts w:ascii="Arial" w:eastAsia="Arial" w:hAnsi="Arial" w:cs="Arial"/>
                <w:color w:val="000000"/>
              </w:rPr>
              <w:t>Legally binding net-zero 2050; peak emissions 2020–2025; decline from 2036</w:t>
            </w:r>
          </w:p>
        </w:tc>
      </w:tr>
      <w:tr w:rsidR="00E56E3B" w14:paraId="65200F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28" w14:textId="77777777" w:rsidR="00E56E3B" w:rsidRDefault="009D7C2B">
            <w:r>
              <w:rPr>
                <w:rFonts w:ascii="Arial" w:eastAsia="Arial" w:hAnsi="Arial" w:cs="Arial"/>
                <w:b/>
                <w:bCs/>
                <w:color w:val="000000"/>
              </w:rPr>
              <w:t>JETP Commitment</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29" w14:textId="77777777" w:rsidR="00E56E3B" w:rsidRDefault="009D7C2B">
            <w:r>
              <w:rPr>
                <w:rFonts w:ascii="Arial" w:eastAsia="Arial" w:hAnsi="Arial" w:cs="Arial"/>
                <w:color w:val="000000"/>
              </w:rPr>
              <w:t>$9.3 billion from G7+EU; coal phase-down post-2035; renewable capacity prioritisation</w:t>
            </w:r>
          </w:p>
        </w:tc>
      </w:tr>
      <w:tr w:rsidR="00E56E3B" w14:paraId="65200F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2B" w14:textId="77777777" w:rsidR="00E56E3B" w:rsidRDefault="009D7C2B">
            <w:r>
              <w:rPr>
                <w:rFonts w:ascii="Arial" w:eastAsia="Arial" w:hAnsi="Arial" w:cs="Arial"/>
                <w:b/>
                <w:bCs/>
                <w:color w:val="000000"/>
              </w:rPr>
              <w:t>Baseline (2023)</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2C" w14:textId="77777777" w:rsidR="00E56E3B" w:rsidRDefault="009D7C2B">
            <w:r>
              <w:rPr>
                <w:rFonts w:ascii="Arial" w:eastAsia="Arial" w:hAnsi="Arial" w:cs="Arial"/>
                <w:color w:val="000000"/>
              </w:rPr>
              <w:t>Coal: ~83% electricity; Renewables: ~4.4% total energy supply; total installed: ~51 GW</w:t>
            </w:r>
          </w:p>
        </w:tc>
      </w:tr>
    </w:tbl>
    <w:p w14:paraId="65200F2E" w14:textId="77777777" w:rsidR="00E56E3B" w:rsidRDefault="00E56E3B">
      <w:pPr>
        <w:spacing w:after="80"/>
      </w:pPr>
    </w:p>
    <w:p w14:paraId="65200F2F" w14:textId="77777777" w:rsidR="00E56E3B" w:rsidRDefault="009D7C2B">
      <w:pPr>
        <w:pStyle w:val="Heading2"/>
      </w:pPr>
      <w:bookmarkStart w:id="9" w:name="_Toc226561767"/>
      <w:r>
        <w:t>2.2 Scenario S1 — Full Decarbonization (ZA-S1)</w:t>
      </w:r>
      <w:bookmarkEnd w:id="9"/>
    </w:p>
    <w:p w14:paraId="65200F30" w14:textId="77777777" w:rsidR="00E56E3B" w:rsidRDefault="009D7C2B">
      <w:pPr>
        <w:spacing w:after="120"/>
      </w:pPr>
      <w:r>
        <w:rPr>
          <w:rFonts w:ascii="Arial" w:eastAsia="Arial" w:hAnsi="Arial" w:cs="Arial"/>
          <w:sz w:val="22"/>
          <w:szCs w:val="22"/>
        </w:rPr>
        <w:t>This scenario represents a stylized upper-bound shock in which 100% of electricity generation shifts to renewables by 2050. Coal, natural gas, and oil-based electricity production are completely phased out. This scenario is intentionally extreme and serves as a structural sensitivity benchmark for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E56E3B" w14:paraId="65200F32"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1A5276"/>
            <w:tcMar>
              <w:top w:w="120" w:type="dxa"/>
              <w:left w:w="140" w:type="dxa"/>
              <w:bottom w:w="120" w:type="dxa"/>
              <w:right w:w="140" w:type="dxa"/>
            </w:tcMar>
          </w:tcPr>
          <w:p w14:paraId="65200F31" w14:textId="77777777" w:rsidR="00E56E3B" w:rsidRDefault="009D7C2B">
            <w:r>
              <w:rPr>
                <w:rFonts w:ascii="Arial" w:eastAsia="Arial" w:hAnsi="Arial" w:cs="Arial"/>
                <w:b/>
                <w:bCs/>
                <w:color w:val="FFFFFF"/>
                <w:sz w:val="24"/>
                <w:szCs w:val="24"/>
              </w:rPr>
              <w:t>ZA-S1 — South Africa Full Decarbonization</w:t>
            </w:r>
          </w:p>
        </w:tc>
      </w:tr>
      <w:tr w:rsidR="00E56E3B" w14:paraId="65200F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0F33" w14:textId="77777777" w:rsidR="00E56E3B" w:rsidRDefault="009D7C2B">
            <w:r>
              <w:rPr>
                <w:rFonts w:ascii="Arial" w:eastAsia="Arial" w:hAnsi="Arial" w:cs="Arial"/>
                <w:b/>
                <w:bCs/>
                <w:color w:val="000000"/>
              </w:rPr>
              <w:t>Parameter</w:t>
            </w:r>
          </w:p>
        </w:tc>
        <w:tc>
          <w:tcPr>
            <w:tcW w:w="34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0F34" w14:textId="77777777" w:rsidR="00E56E3B" w:rsidRDefault="009D7C2B">
            <w:r>
              <w:rPr>
                <w:rFonts w:ascii="Arial" w:eastAsia="Arial" w:hAnsi="Arial" w:cs="Arial"/>
                <w:b/>
                <w:bCs/>
                <w:color w:val="000000"/>
              </w:rPr>
              <w:t>2030 Target</w:t>
            </w:r>
          </w:p>
        </w:tc>
        <w:tc>
          <w:tcPr>
            <w:tcW w:w="34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0F35" w14:textId="77777777" w:rsidR="00E56E3B" w:rsidRDefault="009D7C2B">
            <w:r>
              <w:rPr>
                <w:rFonts w:ascii="Arial" w:eastAsia="Arial" w:hAnsi="Arial" w:cs="Arial"/>
                <w:b/>
                <w:bCs/>
                <w:color w:val="000000"/>
              </w:rPr>
              <w:t>2050 Target</w:t>
            </w:r>
          </w:p>
        </w:tc>
      </w:tr>
      <w:tr w:rsidR="00E56E3B" w14:paraId="65200F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37" w14:textId="77777777" w:rsidR="00E56E3B" w:rsidRDefault="009D7C2B">
            <w:r>
              <w:rPr>
                <w:rFonts w:ascii="Arial" w:eastAsia="Arial" w:hAnsi="Arial" w:cs="Arial"/>
                <w:b/>
                <w:bCs/>
                <w:color w:val="333333"/>
              </w:rPr>
              <w:t>Fossil electricity share</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38" w14:textId="77777777" w:rsidR="00E56E3B" w:rsidRDefault="009D7C2B">
            <w:r>
              <w:rPr>
                <w:rFonts w:ascii="Arial" w:eastAsia="Arial" w:hAnsi="Arial" w:cs="Arial"/>
                <w:color w:val="000000"/>
              </w:rPr>
              <w:t>50% → 0% (partial by 2030)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39" w14:textId="77777777" w:rsidR="00E56E3B" w:rsidRDefault="009D7C2B">
            <w:r>
              <w:rPr>
                <w:rFonts w:ascii="Arial" w:eastAsia="Arial" w:hAnsi="Arial" w:cs="Arial"/>
                <w:color w:val="000000"/>
              </w:rPr>
              <w:t>0% (complete phase-out)</w:t>
            </w:r>
          </w:p>
        </w:tc>
      </w:tr>
      <w:tr w:rsidR="00E56E3B" w14:paraId="65200F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3B" w14:textId="77777777" w:rsidR="00E56E3B" w:rsidRDefault="009D7C2B">
            <w:r>
              <w:rPr>
                <w:rFonts w:ascii="Arial" w:eastAsia="Arial" w:hAnsi="Arial" w:cs="Arial"/>
                <w:b/>
                <w:bCs/>
                <w:color w:val="333333"/>
              </w:rPr>
              <w:t>Renewable electricity share</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3C" w14:textId="77777777" w:rsidR="00E56E3B" w:rsidRDefault="009D7C2B">
            <w:r>
              <w:rPr>
                <w:rFonts w:ascii="Arial" w:eastAsia="Arial" w:hAnsi="Arial" w:cs="Arial"/>
                <w:color w:val="000000"/>
              </w:rPr>
              <w:t>22% → 60% by 2030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3D" w14:textId="77777777" w:rsidR="00E56E3B" w:rsidRDefault="009D7C2B">
            <w:r>
              <w:rPr>
                <w:rFonts w:ascii="Arial" w:eastAsia="Arial" w:hAnsi="Arial" w:cs="Arial"/>
                <w:color w:val="000000"/>
              </w:rPr>
              <w:t>100% by 2050</w:t>
            </w:r>
          </w:p>
        </w:tc>
      </w:tr>
      <w:tr w:rsidR="00E56E3B" w14:paraId="65200F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3F" w14:textId="77777777" w:rsidR="00E56E3B" w:rsidRDefault="009D7C2B">
            <w:r>
              <w:rPr>
                <w:rFonts w:ascii="Arial" w:eastAsia="Arial" w:hAnsi="Arial" w:cs="Arial"/>
                <w:b/>
                <w:bCs/>
                <w:color w:val="333333"/>
              </w:rPr>
              <w:t>Coal electricity coefficient</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40" w14:textId="77777777" w:rsidR="00E56E3B" w:rsidRDefault="009D7C2B">
            <w:r>
              <w:rPr>
                <w:rFonts w:ascii="Arial" w:eastAsia="Arial" w:hAnsi="Arial" w:cs="Arial"/>
                <w:color w:val="000000"/>
              </w:rPr>
              <w:t>Reduce by 50% in A-matrix</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41" w14:textId="77777777" w:rsidR="00E56E3B" w:rsidRDefault="009D7C2B">
            <w:r>
              <w:rPr>
                <w:rFonts w:ascii="Arial" w:eastAsia="Arial" w:hAnsi="Arial" w:cs="Arial"/>
                <w:color w:val="000000"/>
              </w:rPr>
              <w:t>Reduce to 0 in A-matrix</w:t>
            </w:r>
          </w:p>
        </w:tc>
      </w:tr>
      <w:tr w:rsidR="00E56E3B" w14:paraId="65200F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43" w14:textId="77777777" w:rsidR="00E56E3B" w:rsidRDefault="009D7C2B">
            <w:r>
              <w:rPr>
                <w:rFonts w:ascii="Arial" w:eastAsia="Arial" w:hAnsi="Arial" w:cs="Arial"/>
                <w:b/>
                <w:bCs/>
                <w:color w:val="333333"/>
              </w:rPr>
              <w:t>Gas electricity coefficient</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44" w14:textId="77777777" w:rsidR="00E56E3B" w:rsidRDefault="009D7C2B">
            <w:r>
              <w:rPr>
                <w:rFonts w:ascii="Arial" w:eastAsia="Arial" w:hAnsi="Arial" w:cs="Arial"/>
                <w:color w:val="000000"/>
              </w:rPr>
              <w:t>Reduce by 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45" w14:textId="77777777" w:rsidR="00E56E3B" w:rsidRDefault="009D7C2B">
            <w:r>
              <w:rPr>
                <w:rFonts w:ascii="Arial" w:eastAsia="Arial" w:hAnsi="Arial" w:cs="Arial"/>
                <w:color w:val="000000"/>
              </w:rPr>
              <w:t>Reduce to 0</w:t>
            </w:r>
          </w:p>
        </w:tc>
      </w:tr>
      <w:tr w:rsidR="00E56E3B" w14:paraId="65200F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47" w14:textId="77777777" w:rsidR="00E56E3B" w:rsidRDefault="009D7C2B">
            <w:r>
              <w:rPr>
                <w:rFonts w:ascii="Arial" w:eastAsia="Arial" w:hAnsi="Arial" w:cs="Arial"/>
                <w:b/>
                <w:bCs/>
                <w:color w:val="333333"/>
              </w:rPr>
              <w:t>Wind/Solar coefficient</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48" w14:textId="77777777" w:rsidR="00E56E3B" w:rsidRDefault="009D7C2B">
            <w:r>
              <w:rPr>
                <w:rFonts w:ascii="Arial" w:eastAsia="Arial" w:hAnsi="Arial" w:cs="Arial"/>
                <w:color w:val="000000"/>
              </w:rPr>
              <w:t>+0.38 share reallocation</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49" w14:textId="77777777" w:rsidR="00E56E3B" w:rsidRDefault="009D7C2B">
            <w:r>
              <w:rPr>
                <w:rFonts w:ascii="Arial" w:eastAsia="Arial" w:hAnsi="Arial" w:cs="Arial"/>
                <w:color w:val="000000"/>
              </w:rPr>
              <w:t>+1.0 (absorb all fossil share)</w:t>
            </w:r>
          </w:p>
        </w:tc>
      </w:tr>
      <w:tr w:rsidR="00E56E3B" w14:paraId="65200F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4B" w14:textId="77777777" w:rsidR="00E56E3B" w:rsidRDefault="009D7C2B">
            <w:r>
              <w:rPr>
                <w:rFonts w:ascii="Arial" w:eastAsia="Arial" w:hAnsi="Arial" w:cs="Arial"/>
                <w:b/>
                <w:bCs/>
                <w:color w:val="333333"/>
              </w:rPr>
              <w:t>CO2 emission intensity (elec.)</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4C" w14:textId="77777777" w:rsidR="00E56E3B" w:rsidRDefault="009D7C2B">
            <w:r>
              <w:rPr>
                <w:rFonts w:ascii="Arial" w:eastAsia="Arial" w:hAnsi="Arial" w:cs="Arial"/>
                <w:color w:val="000000"/>
              </w:rPr>
              <w:t>Reduce by ~50%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4D" w14:textId="77777777" w:rsidR="00E56E3B" w:rsidRDefault="009D7C2B">
            <w:r>
              <w:rPr>
                <w:rFonts w:ascii="Arial" w:eastAsia="Arial" w:hAnsi="Arial" w:cs="Arial"/>
                <w:color w:val="000000"/>
              </w:rPr>
              <w:t>Reduce to 0</w:t>
            </w:r>
          </w:p>
        </w:tc>
      </w:tr>
      <w:tr w:rsidR="00E56E3B" w14:paraId="65200F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4F" w14:textId="77777777" w:rsidR="00E56E3B" w:rsidRDefault="009D7C2B">
            <w:r>
              <w:rPr>
                <w:rFonts w:ascii="Arial" w:eastAsia="Arial" w:hAnsi="Arial" w:cs="Arial"/>
                <w:b/>
                <w:bCs/>
                <w:color w:val="333333"/>
              </w:rPr>
              <w:t>Shock kind in MARIO</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50" w14:textId="77777777" w:rsidR="00E56E3B" w:rsidRDefault="009D7C2B">
            <w:r>
              <w:rPr>
                <w:rFonts w:ascii="Arial" w:eastAsia="Arial" w:hAnsi="Arial" w:cs="Arial"/>
                <w:color w:val="000000"/>
              </w:rPr>
              <w:t>Percentage / New Value</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51" w14:textId="77777777" w:rsidR="00E56E3B" w:rsidRDefault="009D7C2B">
            <w:r>
              <w:rPr>
                <w:rFonts w:ascii="Arial" w:eastAsia="Arial" w:hAnsi="Arial" w:cs="Arial"/>
                <w:color w:val="000000"/>
              </w:rPr>
              <w:t>New Value = 0 (fossils)</w:t>
            </w:r>
          </w:p>
        </w:tc>
      </w:tr>
    </w:tbl>
    <w:p w14:paraId="65200F53" w14:textId="77777777" w:rsidR="00E56E3B" w:rsidRDefault="00E56E3B">
      <w:pPr>
        <w:spacing w:after="80"/>
      </w:pPr>
    </w:p>
    <w:p w14:paraId="65200F54" w14:textId="77777777" w:rsidR="00E56E3B" w:rsidRDefault="009D7C2B">
      <w:pPr>
        <w:spacing w:after="120"/>
      </w:pPr>
      <w:r>
        <w:rPr>
          <w:rFonts w:ascii="Arial" w:eastAsia="Arial" w:hAnsi="Arial" w:cs="Arial"/>
          <w:sz w:val="22"/>
          <w:szCs w:val="22"/>
        </w:rPr>
        <w:t>MARIO Implementation Notes: Apply negative percentage shocks to coal, gas, and oil electricity rows in the A-matrix for the ZA region. Apply corresponding positive shocks to wind, solar PV, and hydro rows. Scale satellite CO2 extensions proportionally. Use 2030 as the intermediate shock year and 2050 as the terminal year.</w:t>
      </w:r>
    </w:p>
    <w:p w14:paraId="65200F55" w14:textId="77777777" w:rsidR="00E56E3B" w:rsidRDefault="00E56E3B">
      <w:pPr>
        <w:spacing w:after="80"/>
      </w:pPr>
    </w:p>
    <w:p w14:paraId="65200F56" w14:textId="77777777" w:rsidR="00E56E3B" w:rsidRDefault="009D7C2B">
      <w:pPr>
        <w:pStyle w:val="Heading2"/>
      </w:pPr>
      <w:bookmarkStart w:id="10" w:name="_Toc226561768"/>
      <w:r>
        <w:t>2.3 Scenario S2 — National Policy Target (ZA-S2)</w:t>
      </w:r>
      <w:bookmarkEnd w:id="10"/>
    </w:p>
    <w:p w14:paraId="65200F57" w14:textId="77777777" w:rsidR="00E56E3B" w:rsidRDefault="009D7C2B">
      <w:pPr>
        <w:spacing w:after="120"/>
      </w:pPr>
      <w:r>
        <w:rPr>
          <w:rFonts w:ascii="Arial" w:eastAsia="Arial" w:hAnsi="Arial" w:cs="Arial"/>
          <w:sz w:val="22"/>
          <w:szCs w:val="22"/>
        </w:rPr>
        <w:t>This scenario follows South Africa's actual policy commitments under the IRP 2023, Second NDC (2025), and JETP. It reflects the government's endorsed trajectory balancing socioeconomic constraints with climate goals, including continued coal use through 2035 and a gas bridge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E56E3B" w14:paraId="65200F59"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1A7A4E"/>
            <w:tcMar>
              <w:top w:w="120" w:type="dxa"/>
              <w:left w:w="140" w:type="dxa"/>
              <w:bottom w:w="120" w:type="dxa"/>
              <w:right w:w="140" w:type="dxa"/>
            </w:tcMar>
          </w:tcPr>
          <w:p w14:paraId="65200F58" w14:textId="77777777" w:rsidR="00E56E3B" w:rsidRDefault="009D7C2B">
            <w:r>
              <w:rPr>
                <w:rFonts w:ascii="Arial" w:eastAsia="Arial" w:hAnsi="Arial" w:cs="Arial"/>
                <w:b/>
                <w:bCs/>
                <w:color w:val="FFFFFF"/>
                <w:sz w:val="24"/>
                <w:szCs w:val="24"/>
              </w:rPr>
              <w:t>ZA-S2 — South Africa Policy Target</w:t>
            </w:r>
          </w:p>
        </w:tc>
      </w:tr>
      <w:tr w:rsidR="00E56E3B" w14:paraId="65200F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0F5A" w14:textId="77777777" w:rsidR="00E56E3B" w:rsidRDefault="009D7C2B">
            <w:r>
              <w:rPr>
                <w:rFonts w:ascii="Arial" w:eastAsia="Arial" w:hAnsi="Arial" w:cs="Arial"/>
                <w:b/>
                <w:bCs/>
                <w:color w:val="000000"/>
              </w:rPr>
              <w:t>Parameter</w:t>
            </w:r>
          </w:p>
        </w:tc>
        <w:tc>
          <w:tcPr>
            <w:tcW w:w="34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0F5B" w14:textId="77777777" w:rsidR="00E56E3B" w:rsidRDefault="009D7C2B">
            <w:r>
              <w:rPr>
                <w:rFonts w:ascii="Arial" w:eastAsia="Arial" w:hAnsi="Arial" w:cs="Arial"/>
                <w:b/>
                <w:bCs/>
                <w:color w:val="000000"/>
              </w:rPr>
              <w:t>2030 Target</w:t>
            </w:r>
          </w:p>
        </w:tc>
        <w:tc>
          <w:tcPr>
            <w:tcW w:w="34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0F5C" w14:textId="77777777" w:rsidR="00E56E3B" w:rsidRDefault="009D7C2B">
            <w:r>
              <w:rPr>
                <w:rFonts w:ascii="Arial" w:eastAsia="Arial" w:hAnsi="Arial" w:cs="Arial"/>
                <w:b/>
                <w:bCs/>
                <w:color w:val="000000"/>
              </w:rPr>
              <w:t>2050 Target</w:t>
            </w:r>
          </w:p>
        </w:tc>
      </w:tr>
      <w:tr w:rsidR="00E56E3B" w14:paraId="65200F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5E" w14:textId="77777777" w:rsidR="00E56E3B" w:rsidRDefault="009D7C2B">
            <w:r>
              <w:rPr>
                <w:rFonts w:ascii="Arial" w:eastAsia="Arial" w:hAnsi="Arial" w:cs="Arial"/>
                <w:b/>
                <w:bCs/>
                <w:color w:val="333333"/>
              </w:rPr>
              <w:t>Renewable electricity share</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5F" w14:textId="77777777" w:rsidR="00E56E3B" w:rsidRDefault="009D7C2B">
            <w:r>
              <w:rPr>
                <w:rFonts w:ascii="Arial" w:eastAsia="Arial" w:hAnsi="Arial" w:cs="Arial"/>
                <w:color w:val="000000"/>
              </w:rPr>
              <w:t>22% by 2030 (IRP 2023)</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60" w14:textId="77777777" w:rsidR="00E56E3B" w:rsidRDefault="009D7C2B">
            <w:r>
              <w:rPr>
                <w:rFonts w:ascii="Arial" w:eastAsia="Arial" w:hAnsi="Arial" w:cs="Arial"/>
                <w:color w:val="000000"/>
              </w:rPr>
              <w:t>Net-zero electricity by 2050</w:t>
            </w:r>
          </w:p>
        </w:tc>
      </w:tr>
      <w:tr w:rsidR="00E56E3B" w14:paraId="65200F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62" w14:textId="77777777" w:rsidR="00E56E3B" w:rsidRDefault="009D7C2B">
            <w:r>
              <w:rPr>
                <w:rFonts w:ascii="Arial" w:eastAsia="Arial" w:hAnsi="Arial" w:cs="Arial"/>
                <w:b/>
                <w:bCs/>
                <w:color w:val="333333"/>
              </w:rPr>
              <w:t>Coal electricity share</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63" w14:textId="77777777" w:rsidR="00E56E3B" w:rsidRDefault="009D7C2B">
            <w:r>
              <w:rPr>
                <w:rFonts w:ascii="Arial" w:eastAsia="Arial" w:hAnsi="Arial" w:cs="Arial"/>
                <w:color w:val="000000"/>
              </w:rPr>
              <w:t>~70% in 2025 → ~55% by 2030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64" w14:textId="77777777" w:rsidR="00E56E3B" w:rsidRDefault="009D7C2B">
            <w:r>
              <w:rPr>
                <w:rFonts w:ascii="Arial" w:eastAsia="Arial" w:hAnsi="Arial" w:cs="Arial"/>
                <w:color w:val="000000"/>
              </w:rPr>
              <w:t>Phase-out post 2035; ~0% by 2050</w:t>
            </w:r>
          </w:p>
        </w:tc>
      </w:tr>
      <w:tr w:rsidR="00E56E3B" w14:paraId="65200F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66" w14:textId="77777777" w:rsidR="00E56E3B" w:rsidRDefault="009D7C2B">
            <w:r>
              <w:rPr>
                <w:rFonts w:ascii="Arial" w:eastAsia="Arial" w:hAnsi="Arial" w:cs="Arial"/>
                <w:b/>
                <w:bCs/>
                <w:color w:val="333333"/>
              </w:rPr>
              <w:t>New gas capacity</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67" w14:textId="77777777" w:rsidR="00E56E3B" w:rsidRDefault="009D7C2B">
            <w:r>
              <w:rPr>
                <w:rFonts w:ascii="Arial" w:eastAsia="Arial" w:hAnsi="Arial" w:cs="Arial"/>
                <w:color w:val="000000"/>
              </w:rPr>
              <w:t>+7 GW gas by 2030 (IRP 2023)</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68" w14:textId="77777777" w:rsidR="00E56E3B" w:rsidRDefault="009D7C2B">
            <w:r>
              <w:rPr>
                <w:rFonts w:ascii="Arial" w:eastAsia="Arial" w:hAnsi="Arial" w:cs="Arial"/>
                <w:color w:val="000000"/>
              </w:rPr>
              <w:t>Gradual phase-down 2035–2050</w:t>
            </w:r>
          </w:p>
        </w:tc>
      </w:tr>
      <w:tr w:rsidR="00E56E3B" w14:paraId="65200F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6A" w14:textId="77777777" w:rsidR="00E56E3B" w:rsidRDefault="009D7C2B">
            <w:r>
              <w:rPr>
                <w:rFonts w:ascii="Arial" w:eastAsia="Arial" w:hAnsi="Arial" w:cs="Arial"/>
                <w:b/>
                <w:bCs/>
                <w:color w:val="333333"/>
              </w:rPr>
              <w:t>Solar/Wind addition (GW)</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6B" w14:textId="77777777" w:rsidR="00E56E3B" w:rsidRDefault="009D7C2B">
            <w:r>
              <w:rPr>
                <w:rFonts w:ascii="Arial" w:eastAsia="Arial" w:hAnsi="Arial" w:cs="Arial"/>
                <w:color w:val="000000"/>
              </w:rPr>
              <w:t>+8.1–13.8 GW by 2030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6C" w14:textId="77777777" w:rsidR="00E56E3B" w:rsidRDefault="009D7C2B">
            <w:r>
              <w:rPr>
                <w:rFonts w:ascii="Arial" w:eastAsia="Arial" w:hAnsi="Arial" w:cs="Arial"/>
                <w:color w:val="000000"/>
              </w:rPr>
              <w:t>+full capacity for net-zero</w:t>
            </w:r>
          </w:p>
        </w:tc>
      </w:tr>
      <w:tr w:rsidR="00E56E3B" w14:paraId="65200F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6E" w14:textId="77777777" w:rsidR="00E56E3B" w:rsidRDefault="009D7C2B">
            <w:r>
              <w:rPr>
                <w:rFonts w:ascii="Arial" w:eastAsia="Arial" w:hAnsi="Arial" w:cs="Arial"/>
                <w:b/>
                <w:bCs/>
                <w:color w:val="333333"/>
              </w:rPr>
              <w:t>GHG emissions target</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6F" w14:textId="77777777" w:rsidR="00E56E3B" w:rsidRDefault="009D7C2B">
            <w:r>
              <w:rPr>
                <w:rFonts w:ascii="Arial" w:eastAsia="Arial" w:hAnsi="Arial" w:cs="Arial"/>
                <w:color w:val="000000"/>
              </w:rPr>
              <w:t>350–420 MtCO2e by 2030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70" w14:textId="77777777" w:rsidR="00E56E3B" w:rsidRDefault="009D7C2B">
            <w:r>
              <w:rPr>
                <w:rFonts w:ascii="Arial" w:eastAsia="Arial" w:hAnsi="Arial" w:cs="Arial"/>
                <w:color w:val="000000"/>
              </w:rPr>
              <w:t>212–428 MtCO2e by 2050 (Act)</w:t>
            </w:r>
          </w:p>
        </w:tc>
      </w:tr>
      <w:tr w:rsidR="00E56E3B" w14:paraId="65200F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72" w14:textId="77777777" w:rsidR="00E56E3B" w:rsidRDefault="009D7C2B">
            <w:r>
              <w:rPr>
                <w:rFonts w:ascii="Arial" w:eastAsia="Arial" w:hAnsi="Arial" w:cs="Arial"/>
                <w:b/>
                <w:bCs/>
                <w:color w:val="333333"/>
              </w:rPr>
              <w:t>Coal A-matrix coefficient</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73" w14:textId="77777777" w:rsidR="00E56E3B" w:rsidRDefault="009D7C2B">
            <w:r>
              <w:rPr>
                <w:rFonts w:ascii="Arial" w:eastAsia="Arial" w:hAnsi="Arial" w:cs="Arial"/>
                <w:color w:val="000000"/>
              </w:rPr>
              <w:t>Reduce by ~15% by 2030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74" w14:textId="77777777" w:rsidR="00E56E3B" w:rsidRDefault="009D7C2B">
            <w:r>
              <w:rPr>
                <w:rFonts w:ascii="Arial" w:eastAsia="Arial" w:hAnsi="Arial" w:cs="Arial"/>
                <w:color w:val="000000"/>
              </w:rPr>
              <w:t>Reduce to 0 by 2050</w:t>
            </w:r>
          </w:p>
        </w:tc>
      </w:tr>
      <w:tr w:rsidR="00E56E3B" w14:paraId="65200F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76" w14:textId="77777777" w:rsidR="00E56E3B" w:rsidRDefault="009D7C2B">
            <w:r>
              <w:rPr>
                <w:rFonts w:ascii="Arial" w:eastAsia="Arial" w:hAnsi="Arial" w:cs="Arial"/>
                <w:b/>
                <w:bCs/>
                <w:color w:val="333333"/>
              </w:rPr>
              <w:t>Shock kind in MARIO</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77" w14:textId="77777777" w:rsidR="00E56E3B" w:rsidRDefault="009D7C2B">
            <w:r>
              <w:rPr>
                <w:rFonts w:ascii="Arial" w:eastAsia="Arial" w:hAnsi="Arial" w:cs="Arial"/>
                <w:color w:val="000000"/>
              </w:rPr>
              <w:t>Percentage (moderate)</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78" w14:textId="77777777" w:rsidR="00E56E3B" w:rsidRDefault="009D7C2B">
            <w:r>
              <w:rPr>
                <w:rFonts w:ascii="Arial" w:eastAsia="Arial" w:hAnsi="Arial" w:cs="Arial"/>
                <w:color w:val="000000"/>
              </w:rPr>
              <w:t>New Value (net-zero state)</w:t>
            </w:r>
          </w:p>
        </w:tc>
      </w:tr>
    </w:tbl>
    <w:p w14:paraId="65200F7A" w14:textId="77777777" w:rsidR="00E56E3B" w:rsidRDefault="00E56E3B">
      <w:pPr>
        <w:spacing w:after="80"/>
      </w:pPr>
    </w:p>
    <w:p w14:paraId="65200F7B" w14:textId="77777777" w:rsidR="00E56E3B" w:rsidRDefault="009D7C2B">
      <w:pPr>
        <w:spacing w:after="120"/>
      </w:pPr>
      <w:r>
        <w:rPr>
          <w:rFonts w:ascii="Arial" w:eastAsia="Arial" w:hAnsi="Arial" w:cs="Arial"/>
          <w:sz w:val="22"/>
          <w:szCs w:val="22"/>
        </w:rPr>
        <w:t>Policy sources: Integrated Resource Plan 2023 (Dept. of Energy, ZA); Second NDC submitted to UNFCCC October 2025; Climate Change Act 22 of 2024; JETP Investment Plan 2023. Quantitative shock values should be calibrated against Exiobase 2021 baseline output shares for ZA energy sectors.</w:t>
      </w:r>
    </w:p>
    <w:p w14:paraId="65200F7C" w14:textId="77777777" w:rsidR="00E56E3B" w:rsidRDefault="009D7C2B">
      <w:r>
        <w:br w:type="page"/>
      </w:r>
    </w:p>
    <w:p w14:paraId="65200F7D" w14:textId="77777777" w:rsidR="00E56E3B" w:rsidRDefault="009D7C2B">
      <w:pPr>
        <w:pStyle w:val="Heading1"/>
        <w:pBdr>
          <w:bottom w:val="single" w:sz="8" w:space="4" w:color="2E5FA3"/>
        </w:pBdr>
      </w:pPr>
      <w:bookmarkStart w:id="11" w:name="s3"/>
      <w:bookmarkStart w:id="12" w:name="_Toc226561769"/>
      <w:r>
        <w:lastRenderedPageBreak/>
        <w:t>3. India</w:t>
      </w:r>
      <w:bookmarkEnd w:id="11"/>
      <w:bookmarkEnd w:id="12"/>
    </w:p>
    <w:p w14:paraId="65200F7E" w14:textId="77777777" w:rsidR="00E56E3B" w:rsidRDefault="009D7C2B">
      <w:pPr>
        <w:pStyle w:val="Heading2"/>
      </w:pPr>
      <w:bookmarkStart w:id="13" w:name="_Toc226561770"/>
      <w:r>
        <w:t>3.1 Policy Context</w:t>
      </w:r>
      <w:bookmarkEnd w:id="13"/>
    </w:p>
    <w:p w14:paraId="65200F7F" w14:textId="77777777" w:rsidR="00E56E3B" w:rsidRDefault="009D7C2B">
      <w:pPr>
        <w:spacing w:after="120"/>
      </w:pPr>
      <w:r>
        <w:rPr>
          <w:rFonts w:ascii="Arial" w:eastAsia="Arial" w:hAnsi="Arial" w:cs="Arial"/>
          <w:sz w:val="22"/>
          <w:szCs w:val="22"/>
        </w:rPr>
        <w:t>India is the world's third-largest emitter and one of the fastest-growing energy markets globally. Its electricity system is undergoing rapid transformation: as of mid-2025, India has already achieved its 2030 NDC target of 50% non-fossil installed capacity — five years ahead of schedule. Despite this, India continues to expand coal capacity to meet surging electricity demand. India's net-zero commitment is set for 2070, giving a longer transition horizon than developed nations.</w:t>
      </w:r>
    </w:p>
    <w:p w14:paraId="65200F80" w14:textId="77777777" w:rsidR="00E56E3B" w:rsidRDefault="00E56E3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56E3B" w14:paraId="65200F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0F81" w14:textId="77777777" w:rsidR="00E56E3B" w:rsidRDefault="009D7C2B">
            <w:r>
              <w:rPr>
                <w:rFonts w:ascii="Arial" w:eastAsia="Arial" w:hAnsi="Arial" w:cs="Arial"/>
                <w:b/>
                <w:bCs/>
                <w:color w:val="000000"/>
              </w:rPr>
              <w:t>Policy Document</w:t>
            </w:r>
          </w:p>
        </w:tc>
        <w:tc>
          <w:tcPr>
            <w:tcW w:w="65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0F82" w14:textId="77777777" w:rsidR="00E56E3B" w:rsidRDefault="009D7C2B">
            <w:r>
              <w:rPr>
                <w:rFonts w:ascii="Arial" w:eastAsia="Arial" w:hAnsi="Arial" w:cs="Arial"/>
                <w:b/>
                <w:bCs/>
                <w:color w:val="000000"/>
              </w:rPr>
              <w:t>Key Targets</w:t>
            </w:r>
          </w:p>
        </w:tc>
      </w:tr>
      <w:tr w:rsidR="00E56E3B" w14:paraId="65200F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84" w14:textId="77777777" w:rsidR="00E56E3B" w:rsidRDefault="009D7C2B">
            <w:r>
              <w:rPr>
                <w:rFonts w:ascii="Arial" w:eastAsia="Arial" w:hAnsi="Arial" w:cs="Arial"/>
                <w:b/>
                <w:bCs/>
                <w:color w:val="000000"/>
              </w:rPr>
              <w:t>Updated NDC (Aug 2022)</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85" w14:textId="77777777" w:rsidR="00E56E3B" w:rsidRDefault="009D7C2B">
            <w:r>
              <w:rPr>
                <w:rFonts w:ascii="Arial" w:eastAsia="Arial" w:hAnsi="Arial" w:cs="Arial"/>
                <w:color w:val="000000"/>
              </w:rPr>
              <w:t>45% emissions intensity reduction from 2005 by 2030; 50% non-fossil capacity by 2030 (ACHIEVED 2025)</w:t>
            </w:r>
          </w:p>
        </w:tc>
      </w:tr>
      <w:tr w:rsidR="00E56E3B" w14:paraId="65200F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87" w14:textId="77777777" w:rsidR="00E56E3B" w:rsidRDefault="009D7C2B">
            <w:r>
              <w:rPr>
                <w:rFonts w:ascii="Arial" w:eastAsia="Arial" w:hAnsi="Arial" w:cs="Arial"/>
                <w:b/>
                <w:bCs/>
                <w:color w:val="000000"/>
              </w:rPr>
              <w:t>Panchamrit (COP26)</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88" w14:textId="77777777" w:rsidR="00E56E3B" w:rsidRDefault="009D7C2B">
            <w:r>
              <w:rPr>
                <w:rFonts w:ascii="Arial" w:eastAsia="Arial" w:hAnsi="Arial" w:cs="Arial"/>
                <w:color w:val="000000"/>
              </w:rPr>
              <w:t>500 GW non-fossil capacity; 1 BtCO2 cumulative reduction; 50% renewable energy share; net-zero 2070</w:t>
            </w:r>
          </w:p>
        </w:tc>
      </w:tr>
      <w:tr w:rsidR="00E56E3B" w14:paraId="65200F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8A" w14:textId="77777777" w:rsidR="00E56E3B" w:rsidRDefault="009D7C2B">
            <w:r>
              <w:rPr>
                <w:rFonts w:ascii="Arial" w:eastAsia="Arial" w:hAnsi="Arial" w:cs="Arial"/>
                <w:b/>
                <w:bCs/>
                <w:color w:val="000000"/>
              </w:rPr>
              <w:t>National Electricity Plan 2023</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8B" w14:textId="77777777" w:rsidR="00E56E3B" w:rsidRDefault="009D7C2B">
            <w:r>
              <w:rPr>
                <w:rFonts w:ascii="Arial" w:eastAsia="Arial" w:hAnsi="Arial" w:cs="Arial"/>
                <w:color w:val="000000"/>
              </w:rPr>
              <w:t>596 GW renewable by 2031-32 (66% of 900 GW total); Solar 364 GW, Wind 122 GW</w:t>
            </w:r>
          </w:p>
        </w:tc>
      </w:tr>
      <w:tr w:rsidR="00E56E3B" w14:paraId="65200F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8D" w14:textId="77777777" w:rsidR="00E56E3B" w:rsidRDefault="009D7C2B">
            <w:r>
              <w:rPr>
                <w:rFonts w:ascii="Arial" w:eastAsia="Arial" w:hAnsi="Arial" w:cs="Arial"/>
                <w:b/>
                <w:bCs/>
                <w:color w:val="000000"/>
              </w:rPr>
              <w:t>Net-Zero Target</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8E" w14:textId="77777777" w:rsidR="00E56E3B" w:rsidRDefault="009D7C2B">
            <w:r>
              <w:rPr>
                <w:rFonts w:ascii="Arial" w:eastAsia="Arial" w:hAnsi="Arial" w:cs="Arial"/>
                <w:color w:val="000000"/>
              </w:rPr>
              <w:t>2070 (announced COP26 by PM Modi); renewables 65% of energy mix by 2070</w:t>
            </w:r>
          </w:p>
        </w:tc>
      </w:tr>
      <w:tr w:rsidR="00E56E3B" w14:paraId="65200F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90" w14:textId="77777777" w:rsidR="00E56E3B" w:rsidRDefault="009D7C2B">
            <w:r>
              <w:rPr>
                <w:rFonts w:ascii="Arial" w:eastAsia="Arial" w:hAnsi="Arial" w:cs="Arial"/>
                <w:b/>
                <w:bCs/>
                <w:color w:val="000000"/>
              </w:rPr>
              <w:t>Baseline (2023)</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91" w14:textId="77777777" w:rsidR="00E56E3B" w:rsidRDefault="009D7C2B">
            <w:r>
              <w:rPr>
                <w:rFonts w:ascii="Arial" w:eastAsia="Arial" w:hAnsi="Arial" w:cs="Arial"/>
                <w:color w:val="000000"/>
              </w:rPr>
              <w:t>Coal: ~59% of installed capacity; Renewables: ~168 GW (44%); total installed ~450 GW</w:t>
            </w:r>
          </w:p>
        </w:tc>
      </w:tr>
    </w:tbl>
    <w:p w14:paraId="65200F93" w14:textId="77777777" w:rsidR="00E56E3B" w:rsidRDefault="00E56E3B">
      <w:pPr>
        <w:spacing w:after="80"/>
      </w:pPr>
    </w:p>
    <w:p w14:paraId="65200F94" w14:textId="77777777" w:rsidR="00E56E3B" w:rsidRDefault="009D7C2B">
      <w:pPr>
        <w:pStyle w:val="Heading2"/>
      </w:pPr>
      <w:bookmarkStart w:id="14" w:name="_Toc226561771"/>
      <w:r>
        <w:t>3.2 Scenario S1 — Full Decarbonization (IN-S1)</w:t>
      </w:r>
      <w:bookmarkEnd w:id="14"/>
    </w:p>
    <w:p w14:paraId="65200F95" w14:textId="77777777" w:rsidR="00E56E3B" w:rsidRDefault="009D7C2B">
      <w:pPr>
        <w:spacing w:after="120"/>
      </w:pPr>
      <w:r>
        <w:rPr>
          <w:rFonts w:ascii="Arial" w:eastAsia="Arial" w:hAnsi="Arial" w:cs="Arial"/>
          <w:sz w:val="22"/>
          <w:szCs w:val="22"/>
        </w:rPr>
        <w:t>Upper-bound scenario: 100% renewable electricity by 2070, aligned with India's net-zero year. Gradual linear ramp-up of renewables and phase-out of coal and gas electricity in the A-matrix.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E56E3B" w14:paraId="65200F97"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1A5276"/>
            <w:tcMar>
              <w:top w:w="120" w:type="dxa"/>
              <w:left w:w="140" w:type="dxa"/>
              <w:bottom w:w="120" w:type="dxa"/>
              <w:right w:w="140" w:type="dxa"/>
            </w:tcMar>
          </w:tcPr>
          <w:p w14:paraId="65200F96" w14:textId="77777777" w:rsidR="00E56E3B" w:rsidRDefault="009D7C2B">
            <w:r>
              <w:rPr>
                <w:rFonts w:ascii="Arial" w:eastAsia="Arial" w:hAnsi="Arial" w:cs="Arial"/>
                <w:b/>
                <w:bCs/>
                <w:color w:val="FFFFFF"/>
                <w:sz w:val="24"/>
                <w:szCs w:val="24"/>
              </w:rPr>
              <w:t>IN-S1 — India Full Decarbonization</w:t>
            </w:r>
          </w:p>
        </w:tc>
      </w:tr>
      <w:tr w:rsidR="00E56E3B" w14:paraId="65200F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0F98" w14:textId="77777777" w:rsidR="00E56E3B" w:rsidRDefault="009D7C2B">
            <w:r>
              <w:rPr>
                <w:rFonts w:ascii="Arial" w:eastAsia="Arial" w:hAnsi="Arial" w:cs="Arial"/>
                <w:b/>
                <w:bCs/>
                <w:color w:val="000000"/>
              </w:rPr>
              <w:t>Parameter</w:t>
            </w:r>
          </w:p>
        </w:tc>
        <w:tc>
          <w:tcPr>
            <w:tcW w:w="34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0F99" w14:textId="77777777" w:rsidR="00E56E3B" w:rsidRDefault="009D7C2B">
            <w:r>
              <w:rPr>
                <w:rFonts w:ascii="Arial" w:eastAsia="Arial" w:hAnsi="Arial" w:cs="Arial"/>
                <w:b/>
                <w:bCs/>
                <w:color w:val="000000"/>
              </w:rPr>
              <w:t>2030 Target</w:t>
            </w:r>
          </w:p>
        </w:tc>
        <w:tc>
          <w:tcPr>
            <w:tcW w:w="34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0F9A" w14:textId="77777777" w:rsidR="00E56E3B" w:rsidRDefault="009D7C2B">
            <w:r>
              <w:rPr>
                <w:rFonts w:ascii="Arial" w:eastAsia="Arial" w:hAnsi="Arial" w:cs="Arial"/>
                <w:b/>
                <w:bCs/>
                <w:color w:val="000000"/>
              </w:rPr>
              <w:t>2050 Target</w:t>
            </w:r>
          </w:p>
        </w:tc>
      </w:tr>
      <w:tr w:rsidR="00E56E3B" w14:paraId="65200F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9C" w14:textId="77777777" w:rsidR="00E56E3B" w:rsidRDefault="009D7C2B">
            <w:r>
              <w:rPr>
                <w:rFonts w:ascii="Arial" w:eastAsia="Arial" w:hAnsi="Arial" w:cs="Arial"/>
                <w:b/>
                <w:bCs/>
                <w:color w:val="333333"/>
              </w:rPr>
              <w:t>Fossil electricity share</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9D" w14:textId="77777777" w:rsidR="00E56E3B" w:rsidRDefault="009D7C2B">
            <w:r>
              <w:rPr>
                <w:rFonts w:ascii="Arial" w:eastAsia="Arial" w:hAnsi="Arial" w:cs="Arial"/>
                <w:color w:val="000000"/>
              </w:rPr>
              <w:t>50% → 25% by 2030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9E" w14:textId="77777777" w:rsidR="00E56E3B" w:rsidRDefault="009D7C2B">
            <w:r>
              <w:rPr>
                <w:rFonts w:ascii="Arial" w:eastAsia="Arial" w:hAnsi="Arial" w:cs="Arial"/>
                <w:color w:val="000000"/>
              </w:rPr>
              <w:t>0% by 2070 (net-zero year)</w:t>
            </w:r>
          </w:p>
        </w:tc>
      </w:tr>
      <w:tr w:rsidR="00E56E3B" w14:paraId="65200F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A0" w14:textId="77777777" w:rsidR="00E56E3B" w:rsidRDefault="009D7C2B">
            <w:r>
              <w:rPr>
                <w:rFonts w:ascii="Arial" w:eastAsia="Arial" w:hAnsi="Arial" w:cs="Arial"/>
                <w:b/>
                <w:bCs/>
                <w:color w:val="333333"/>
              </w:rPr>
              <w:t>Renewable electricity share</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A1" w14:textId="77777777" w:rsidR="00E56E3B" w:rsidRDefault="009D7C2B">
            <w:r>
              <w:rPr>
                <w:rFonts w:ascii="Arial" w:eastAsia="Arial" w:hAnsi="Arial" w:cs="Arial"/>
                <w:color w:val="000000"/>
              </w:rPr>
              <w:t>50% → 75% by 2030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A2" w14:textId="77777777" w:rsidR="00E56E3B" w:rsidRDefault="009D7C2B">
            <w:r>
              <w:rPr>
                <w:rFonts w:ascii="Arial" w:eastAsia="Arial" w:hAnsi="Arial" w:cs="Arial"/>
                <w:color w:val="000000"/>
              </w:rPr>
              <w:t>100% by 2070</w:t>
            </w:r>
          </w:p>
        </w:tc>
      </w:tr>
      <w:tr w:rsidR="00E56E3B" w14:paraId="65200F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A4" w14:textId="77777777" w:rsidR="00E56E3B" w:rsidRDefault="009D7C2B">
            <w:r>
              <w:rPr>
                <w:rFonts w:ascii="Arial" w:eastAsia="Arial" w:hAnsi="Arial" w:cs="Arial"/>
                <w:b/>
                <w:bCs/>
                <w:color w:val="333333"/>
              </w:rPr>
              <w:t>Coal A-matrix coefficient</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A5" w14:textId="77777777" w:rsidR="00E56E3B" w:rsidRDefault="009D7C2B">
            <w:r>
              <w:rPr>
                <w:rFonts w:ascii="Arial" w:eastAsia="Arial" w:hAnsi="Arial" w:cs="Arial"/>
                <w:color w:val="000000"/>
              </w:rPr>
              <w:t>Reduce by 25% (2030)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A6" w14:textId="77777777" w:rsidR="00E56E3B" w:rsidRDefault="009D7C2B">
            <w:r>
              <w:rPr>
                <w:rFonts w:ascii="Arial" w:eastAsia="Arial" w:hAnsi="Arial" w:cs="Arial"/>
                <w:color w:val="000000"/>
              </w:rPr>
              <w:t>Reduce to 0 (2070)</w:t>
            </w:r>
          </w:p>
        </w:tc>
      </w:tr>
      <w:tr w:rsidR="00E56E3B" w14:paraId="65200F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A8" w14:textId="77777777" w:rsidR="00E56E3B" w:rsidRDefault="009D7C2B">
            <w:r>
              <w:rPr>
                <w:rFonts w:ascii="Arial" w:eastAsia="Arial" w:hAnsi="Arial" w:cs="Arial"/>
                <w:b/>
                <w:bCs/>
                <w:color w:val="333333"/>
              </w:rPr>
              <w:t>Solar PV coefficient</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A9" w14:textId="77777777" w:rsidR="00E56E3B" w:rsidRDefault="009D7C2B">
            <w:r>
              <w:rPr>
                <w:rFonts w:ascii="Arial" w:eastAsia="Arial" w:hAnsi="Arial" w:cs="Arial"/>
                <w:color w:val="000000"/>
              </w:rPr>
              <w:t>Increase by +30%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AA" w14:textId="77777777" w:rsidR="00E56E3B" w:rsidRDefault="009D7C2B">
            <w:r>
              <w:rPr>
                <w:rFonts w:ascii="Arial" w:eastAsia="Arial" w:hAnsi="Arial" w:cs="Arial"/>
                <w:color w:val="000000"/>
              </w:rPr>
              <w:t>Scale to 65% of total mix</w:t>
            </w:r>
          </w:p>
        </w:tc>
      </w:tr>
      <w:tr w:rsidR="00E56E3B" w14:paraId="65200F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AC" w14:textId="77777777" w:rsidR="00E56E3B" w:rsidRDefault="009D7C2B">
            <w:r>
              <w:rPr>
                <w:rFonts w:ascii="Arial" w:eastAsia="Arial" w:hAnsi="Arial" w:cs="Arial"/>
                <w:b/>
                <w:bCs/>
                <w:color w:val="333333"/>
              </w:rPr>
              <w:t>Wind coefficient</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AD" w14:textId="77777777" w:rsidR="00E56E3B" w:rsidRDefault="009D7C2B">
            <w:r>
              <w:rPr>
                <w:rFonts w:ascii="Arial" w:eastAsia="Arial" w:hAnsi="Arial" w:cs="Arial"/>
                <w:color w:val="000000"/>
              </w:rPr>
              <w:t>Increase by +15%</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AE" w14:textId="77777777" w:rsidR="00E56E3B" w:rsidRDefault="009D7C2B">
            <w:r>
              <w:rPr>
                <w:rFonts w:ascii="Arial" w:eastAsia="Arial" w:hAnsi="Arial" w:cs="Arial"/>
                <w:color w:val="000000"/>
              </w:rPr>
              <w:t>Scale to 25% of total mix</w:t>
            </w:r>
          </w:p>
        </w:tc>
      </w:tr>
      <w:tr w:rsidR="00E56E3B" w14:paraId="65200F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B0" w14:textId="77777777" w:rsidR="00E56E3B" w:rsidRDefault="009D7C2B">
            <w:r>
              <w:rPr>
                <w:rFonts w:ascii="Arial" w:eastAsia="Arial" w:hAnsi="Arial" w:cs="Arial"/>
                <w:b/>
                <w:bCs/>
                <w:color w:val="333333"/>
              </w:rPr>
              <w:t>CO2 emission intensity</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B1" w14:textId="77777777" w:rsidR="00E56E3B" w:rsidRDefault="009D7C2B">
            <w:r>
              <w:rPr>
                <w:rFonts w:ascii="Arial" w:eastAsia="Arial" w:hAnsi="Arial" w:cs="Arial"/>
                <w:color w:val="000000"/>
              </w:rPr>
              <w:t>Reduce by ~45% (NDC target)</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B2" w14:textId="77777777" w:rsidR="00E56E3B" w:rsidRDefault="009D7C2B">
            <w:r>
              <w:rPr>
                <w:rFonts w:ascii="Arial" w:eastAsia="Arial" w:hAnsi="Arial" w:cs="Arial"/>
                <w:color w:val="000000"/>
              </w:rPr>
              <w:t>Reduce to 0</w:t>
            </w:r>
          </w:p>
        </w:tc>
      </w:tr>
      <w:tr w:rsidR="00E56E3B" w14:paraId="65200F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B4" w14:textId="77777777" w:rsidR="00E56E3B" w:rsidRDefault="009D7C2B">
            <w:r>
              <w:rPr>
                <w:rFonts w:ascii="Arial" w:eastAsia="Arial" w:hAnsi="Arial" w:cs="Arial"/>
                <w:b/>
                <w:bCs/>
                <w:color w:val="333333"/>
              </w:rPr>
              <w:t>Shock kind in MARIO</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B5" w14:textId="77777777" w:rsidR="00E56E3B" w:rsidRDefault="009D7C2B">
            <w:r>
              <w:rPr>
                <w:rFonts w:ascii="Arial" w:eastAsia="Arial" w:hAnsi="Arial" w:cs="Arial"/>
                <w:color w:val="000000"/>
              </w:rPr>
              <w:t>Percentage (large)</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B6" w14:textId="77777777" w:rsidR="00E56E3B" w:rsidRDefault="009D7C2B">
            <w:r>
              <w:rPr>
                <w:rFonts w:ascii="Arial" w:eastAsia="Arial" w:hAnsi="Arial" w:cs="Arial"/>
                <w:color w:val="000000"/>
              </w:rPr>
              <w:t>New Value = 0 (fossils)</w:t>
            </w:r>
          </w:p>
        </w:tc>
      </w:tr>
    </w:tbl>
    <w:p w14:paraId="65200FB8" w14:textId="77777777" w:rsidR="00E56E3B" w:rsidRDefault="00E56E3B">
      <w:pPr>
        <w:spacing w:after="80"/>
      </w:pPr>
    </w:p>
    <w:p w14:paraId="65200FB9" w14:textId="77777777" w:rsidR="00E56E3B" w:rsidRDefault="009D7C2B">
      <w:pPr>
        <w:pStyle w:val="Heading2"/>
      </w:pPr>
      <w:bookmarkStart w:id="15" w:name="_Toc226561772"/>
      <w:r>
        <w:lastRenderedPageBreak/>
        <w:t>3.3 Scenario S2 — National Policy Target (IN-S2)</w:t>
      </w:r>
      <w:bookmarkEnd w:id="15"/>
    </w:p>
    <w:p w14:paraId="65200FBA" w14:textId="77777777" w:rsidR="00E56E3B" w:rsidRDefault="009D7C2B">
      <w:pPr>
        <w:spacing w:after="120"/>
      </w:pPr>
      <w:r>
        <w:rPr>
          <w:rFonts w:ascii="Arial" w:eastAsia="Arial" w:hAnsi="Arial" w:cs="Arial"/>
          <w:sz w:val="22"/>
          <w:szCs w:val="22"/>
        </w:rPr>
        <w:t>Follows India's NEP 2023 trajectory with 500 GW non-fossil capacity by 2030, while maintaining coal as a residual source through 2031-32. The long-run shock extends to 2070 aligned with the net-zero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E56E3B" w14:paraId="65200FBC"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1A7A4E"/>
            <w:tcMar>
              <w:top w:w="120" w:type="dxa"/>
              <w:left w:w="140" w:type="dxa"/>
              <w:bottom w:w="120" w:type="dxa"/>
              <w:right w:w="140" w:type="dxa"/>
            </w:tcMar>
          </w:tcPr>
          <w:p w14:paraId="65200FBB" w14:textId="77777777" w:rsidR="00E56E3B" w:rsidRDefault="009D7C2B">
            <w:r>
              <w:rPr>
                <w:rFonts w:ascii="Arial" w:eastAsia="Arial" w:hAnsi="Arial" w:cs="Arial"/>
                <w:b/>
                <w:bCs/>
                <w:color w:val="FFFFFF"/>
                <w:sz w:val="24"/>
                <w:szCs w:val="24"/>
              </w:rPr>
              <w:t>IN-S2 — India Policy Target</w:t>
            </w:r>
          </w:p>
        </w:tc>
      </w:tr>
      <w:tr w:rsidR="00E56E3B" w14:paraId="65200F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0FBD" w14:textId="77777777" w:rsidR="00E56E3B" w:rsidRDefault="009D7C2B">
            <w:r>
              <w:rPr>
                <w:rFonts w:ascii="Arial" w:eastAsia="Arial" w:hAnsi="Arial" w:cs="Arial"/>
                <w:b/>
                <w:bCs/>
                <w:color w:val="000000"/>
              </w:rPr>
              <w:t>Parameter</w:t>
            </w:r>
          </w:p>
        </w:tc>
        <w:tc>
          <w:tcPr>
            <w:tcW w:w="34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0FBE" w14:textId="77777777" w:rsidR="00E56E3B" w:rsidRDefault="009D7C2B">
            <w:r>
              <w:rPr>
                <w:rFonts w:ascii="Arial" w:eastAsia="Arial" w:hAnsi="Arial" w:cs="Arial"/>
                <w:b/>
                <w:bCs/>
                <w:color w:val="000000"/>
              </w:rPr>
              <w:t>2030 Target</w:t>
            </w:r>
          </w:p>
        </w:tc>
        <w:tc>
          <w:tcPr>
            <w:tcW w:w="34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0FBF" w14:textId="77777777" w:rsidR="00E56E3B" w:rsidRDefault="009D7C2B">
            <w:r>
              <w:rPr>
                <w:rFonts w:ascii="Arial" w:eastAsia="Arial" w:hAnsi="Arial" w:cs="Arial"/>
                <w:b/>
                <w:bCs/>
                <w:color w:val="000000"/>
              </w:rPr>
              <w:t>2050 Target</w:t>
            </w:r>
          </w:p>
        </w:tc>
      </w:tr>
      <w:tr w:rsidR="00E56E3B" w14:paraId="65200F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C1" w14:textId="77777777" w:rsidR="00E56E3B" w:rsidRDefault="009D7C2B">
            <w:r>
              <w:rPr>
                <w:rFonts w:ascii="Arial" w:eastAsia="Arial" w:hAnsi="Arial" w:cs="Arial"/>
                <w:b/>
                <w:bCs/>
                <w:color w:val="333333"/>
              </w:rPr>
              <w:t>Non-fossil capacity</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C2" w14:textId="77777777" w:rsidR="00E56E3B" w:rsidRDefault="009D7C2B">
            <w:r>
              <w:rPr>
                <w:rFonts w:ascii="Arial" w:eastAsia="Arial" w:hAnsi="Arial" w:cs="Arial"/>
                <w:color w:val="000000"/>
              </w:rPr>
              <w:t>500 GW by 2030 (Panchamrit)</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C3" w14:textId="77777777" w:rsidR="00E56E3B" w:rsidRDefault="009D7C2B">
            <w:r>
              <w:rPr>
                <w:rFonts w:ascii="Arial" w:eastAsia="Arial" w:hAnsi="Arial" w:cs="Arial"/>
                <w:color w:val="000000"/>
              </w:rPr>
              <w:t>~1,200–1,500 GW by 2070</w:t>
            </w:r>
          </w:p>
        </w:tc>
      </w:tr>
      <w:tr w:rsidR="00E56E3B" w14:paraId="65200F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C5" w14:textId="77777777" w:rsidR="00E56E3B" w:rsidRDefault="009D7C2B">
            <w:r>
              <w:rPr>
                <w:rFonts w:ascii="Arial" w:eastAsia="Arial" w:hAnsi="Arial" w:cs="Arial"/>
                <w:b/>
                <w:bCs/>
                <w:color w:val="333333"/>
              </w:rPr>
              <w:t>Solar capacity</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C6" w14:textId="77777777" w:rsidR="00E56E3B" w:rsidRDefault="009D7C2B">
            <w:r>
              <w:rPr>
                <w:rFonts w:ascii="Arial" w:eastAsia="Arial" w:hAnsi="Arial" w:cs="Arial"/>
                <w:color w:val="000000"/>
              </w:rPr>
              <w:t>364 GW by 2031-32 (NEP 2023)</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C7" w14:textId="77777777" w:rsidR="00E56E3B" w:rsidRDefault="009D7C2B">
            <w:r>
              <w:rPr>
                <w:rFonts w:ascii="Arial" w:eastAsia="Arial" w:hAnsi="Arial" w:cs="Arial"/>
                <w:color w:val="000000"/>
              </w:rPr>
              <w:t>Dominant source by 2070</w:t>
            </w:r>
          </w:p>
        </w:tc>
      </w:tr>
      <w:tr w:rsidR="00E56E3B" w14:paraId="65200F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C9" w14:textId="77777777" w:rsidR="00E56E3B" w:rsidRDefault="009D7C2B">
            <w:r>
              <w:rPr>
                <w:rFonts w:ascii="Arial" w:eastAsia="Arial" w:hAnsi="Arial" w:cs="Arial"/>
                <w:b/>
                <w:bCs/>
                <w:color w:val="333333"/>
              </w:rPr>
              <w:t>Wind capacity</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CA" w14:textId="77777777" w:rsidR="00E56E3B" w:rsidRDefault="009D7C2B">
            <w:r>
              <w:rPr>
                <w:rFonts w:ascii="Arial" w:eastAsia="Arial" w:hAnsi="Arial" w:cs="Arial"/>
                <w:color w:val="000000"/>
              </w:rPr>
              <w:t>122 GW by 2031-32 (NEP 2023)</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CB" w14:textId="77777777" w:rsidR="00E56E3B" w:rsidRDefault="009D7C2B">
            <w:r>
              <w:rPr>
                <w:rFonts w:ascii="Arial" w:eastAsia="Arial" w:hAnsi="Arial" w:cs="Arial"/>
                <w:color w:val="000000"/>
              </w:rPr>
              <w:t>Second largest source</w:t>
            </w:r>
          </w:p>
        </w:tc>
      </w:tr>
      <w:tr w:rsidR="00E56E3B" w14:paraId="65200F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CD" w14:textId="77777777" w:rsidR="00E56E3B" w:rsidRDefault="009D7C2B">
            <w:r>
              <w:rPr>
                <w:rFonts w:ascii="Arial" w:eastAsia="Arial" w:hAnsi="Arial" w:cs="Arial"/>
                <w:b/>
                <w:bCs/>
                <w:color w:val="333333"/>
              </w:rPr>
              <w:t>Coal share (capacity)</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CE" w14:textId="77777777" w:rsidR="00E56E3B" w:rsidRDefault="009D7C2B">
            <w:r>
              <w:rPr>
                <w:rFonts w:ascii="Arial" w:eastAsia="Arial" w:hAnsi="Arial" w:cs="Arial"/>
                <w:color w:val="000000"/>
              </w:rPr>
              <w:t>~32% by 2031-32 (down from 59%)</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CF" w14:textId="77777777" w:rsidR="00E56E3B" w:rsidRDefault="009D7C2B">
            <w:r>
              <w:rPr>
                <w:rFonts w:ascii="Arial" w:eastAsia="Arial" w:hAnsi="Arial" w:cs="Arial"/>
                <w:color w:val="000000"/>
              </w:rPr>
              <w:t>~4% by 2070 (LT-LEDS)</w:t>
            </w:r>
          </w:p>
        </w:tc>
      </w:tr>
      <w:tr w:rsidR="00E56E3B" w14:paraId="65200F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D1" w14:textId="77777777" w:rsidR="00E56E3B" w:rsidRDefault="009D7C2B">
            <w:r>
              <w:rPr>
                <w:rFonts w:ascii="Arial" w:eastAsia="Arial" w:hAnsi="Arial" w:cs="Arial"/>
                <w:b/>
                <w:bCs/>
                <w:color w:val="333333"/>
              </w:rPr>
              <w:t>Emissions intensity (GDP)</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D2" w14:textId="77777777" w:rsidR="00E56E3B" w:rsidRDefault="009D7C2B">
            <w:r>
              <w:rPr>
                <w:rFonts w:ascii="Arial" w:eastAsia="Arial" w:hAnsi="Arial" w:cs="Arial"/>
                <w:color w:val="000000"/>
              </w:rPr>
              <w:t>-45% by 2030 vs. 2005 (NDC)</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D3" w14:textId="77777777" w:rsidR="00E56E3B" w:rsidRDefault="009D7C2B">
            <w:r>
              <w:rPr>
                <w:rFonts w:ascii="Arial" w:eastAsia="Arial" w:hAnsi="Arial" w:cs="Arial"/>
                <w:color w:val="000000"/>
              </w:rPr>
              <w:t>Net-zero by 2070</w:t>
            </w:r>
          </w:p>
        </w:tc>
      </w:tr>
      <w:tr w:rsidR="00E56E3B" w14:paraId="65200F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D5" w14:textId="77777777" w:rsidR="00E56E3B" w:rsidRDefault="009D7C2B">
            <w:r>
              <w:rPr>
                <w:rFonts w:ascii="Arial" w:eastAsia="Arial" w:hAnsi="Arial" w:cs="Arial"/>
                <w:b/>
                <w:bCs/>
                <w:color w:val="333333"/>
              </w:rPr>
              <w:t>Coal A-matrix coefficient</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D6" w14:textId="77777777" w:rsidR="00E56E3B" w:rsidRDefault="009D7C2B">
            <w:r>
              <w:rPr>
                <w:rFonts w:ascii="Arial" w:eastAsia="Arial" w:hAnsi="Arial" w:cs="Arial"/>
                <w:color w:val="000000"/>
              </w:rPr>
              <w:t>Reduce by ~35% by 2030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D7" w14:textId="77777777" w:rsidR="00E56E3B" w:rsidRDefault="009D7C2B">
            <w:r>
              <w:rPr>
                <w:rFonts w:ascii="Arial" w:eastAsia="Arial" w:hAnsi="Arial" w:cs="Arial"/>
                <w:color w:val="000000"/>
              </w:rPr>
              <w:t>Reduce to near-zero by 2070</w:t>
            </w:r>
          </w:p>
        </w:tc>
      </w:tr>
      <w:tr w:rsidR="00E56E3B" w14:paraId="65200F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D9" w14:textId="77777777" w:rsidR="00E56E3B" w:rsidRDefault="009D7C2B">
            <w:r>
              <w:rPr>
                <w:rFonts w:ascii="Arial" w:eastAsia="Arial" w:hAnsi="Arial" w:cs="Arial"/>
                <w:b/>
                <w:bCs/>
                <w:color w:val="333333"/>
              </w:rPr>
              <w:t>Shock kind in MARIO</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DA" w14:textId="77777777" w:rsidR="00E56E3B" w:rsidRDefault="009D7C2B">
            <w:r>
              <w:rPr>
                <w:rFonts w:ascii="Arial" w:eastAsia="Arial" w:hAnsi="Arial" w:cs="Arial"/>
                <w:color w:val="000000"/>
              </w:rPr>
              <w:t>Percentage (moderate-large)</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DB" w14:textId="77777777" w:rsidR="00E56E3B" w:rsidRDefault="009D7C2B">
            <w:r>
              <w:rPr>
                <w:rFonts w:ascii="Arial" w:eastAsia="Arial" w:hAnsi="Arial" w:cs="Arial"/>
                <w:color w:val="000000"/>
              </w:rPr>
              <w:t>New Value (near-zero fossils)</w:t>
            </w:r>
          </w:p>
        </w:tc>
      </w:tr>
    </w:tbl>
    <w:p w14:paraId="65200FDD" w14:textId="77777777" w:rsidR="00E56E3B" w:rsidRDefault="00E56E3B">
      <w:pPr>
        <w:spacing w:after="80"/>
      </w:pPr>
    </w:p>
    <w:p w14:paraId="65200FDE" w14:textId="77777777" w:rsidR="00E56E3B" w:rsidRDefault="009D7C2B">
      <w:pPr>
        <w:spacing w:after="120"/>
      </w:pPr>
      <w:r>
        <w:rPr>
          <w:rFonts w:ascii="Arial" w:eastAsia="Arial" w:hAnsi="Arial" w:cs="Arial"/>
          <w:sz w:val="22"/>
          <w:szCs w:val="22"/>
        </w:rPr>
        <w:t>Policy sources: Government of India updated NDC August 2022; National Electricity Plan 2023 (Central Electricity Authority); PM Modi COP26 Panchamrit announcement; Long-Term Strategy for Low Carbon Development (LT-LEDS, COP27).</w:t>
      </w:r>
    </w:p>
    <w:p w14:paraId="65200FDF" w14:textId="77777777" w:rsidR="00E56E3B" w:rsidRDefault="009D7C2B">
      <w:r>
        <w:br w:type="page"/>
      </w:r>
    </w:p>
    <w:p w14:paraId="65200FE0" w14:textId="77777777" w:rsidR="00E56E3B" w:rsidRDefault="009D7C2B">
      <w:pPr>
        <w:pStyle w:val="Heading1"/>
        <w:pBdr>
          <w:bottom w:val="single" w:sz="8" w:space="4" w:color="2E5FA3"/>
        </w:pBdr>
      </w:pPr>
      <w:bookmarkStart w:id="16" w:name="s4"/>
      <w:bookmarkStart w:id="17" w:name="_Toc226561773"/>
      <w:r>
        <w:lastRenderedPageBreak/>
        <w:t>4. Brazil</w:t>
      </w:r>
      <w:bookmarkEnd w:id="16"/>
      <w:bookmarkEnd w:id="17"/>
    </w:p>
    <w:p w14:paraId="65200FE1" w14:textId="77777777" w:rsidR="00E56E3B" w:rsidRDefault="009D7C2B">
      <w:pPr>
        <w:pStyle w:val="Heading2"/>
      </w:pPr>
      <w:bookmarkStart w:id="18" w:name="_Toc226561774"/>
      <w:r>
        <w:t>4.1 Policy Context</w:t>
      </w:r>
      <w:bookmarkEnd w:id="18"/>
    </w:p>
    <w:p w14:paraId="65200FE2" w14:textId="77777777" w:rsidR="00E56E3B" w:rsidRDefault="009D7C2B">
      <w:pPr>
        <w:spacing w:after="120"/>
      </w:pPr>
      <w:r>
        <w:rPr>
          <w:rFonts w:ascii="Arial" w:eastAsia="Arial" w:hAnsi="Arial" w:cs="Arial"/>
          <w:sz w:val="22"/>
          <w:szCs w:val="22"/>
        </w:rPr>
        <w:t>Brazil is a unique case among major economies: it already generates approximately 85-88% of its electricity from renewable sources, dominated by large hydropower. Under President Lula, Brazil has significantly strengthened its climate ambitions, bringing forward its net-zero target from 2060 to 2050 and submitting a highly ambitious NDC 3.0 (November 2024) committing to 59-67% total emissions reduction by 2035 vs. 2005. Brazil's decarbonization challenge lies not in electricity but in deforestation (LULUCF)</w:t>
      </w:r>
      <w:r>
        <w:rPr>
          <w:rFonts w:ascii="Arial" w:eastAsia="Arial" w:hAnsi="Arial" w:cs="Arial"/>
          <w:sz w:val="22"/>
          <w:szCs w:val="22"/>
        </w:rPr>
        <w:t>, agriculture, and hard-to-abate industrial sectors.</w:t>
      </w:r>
    </w:p>
    <w:p w14:paraId="65200FE3" w14:textId="77777777" w:rsidR="00E56E3B" w:rsidRDefault="00E56E3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56E3B" w14:paraId="65200F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0FE4" w14:textId="77777777" w:rsidR="00E56E3B" w:rsidRDefault="009D7C2B">
            <w:r>
              <w:rPr>
                <w:rFonts w:ascii="Arial" w:eastAsia="Arial" w:hAnsi="Arial" w:cs="Arial"/>
                <w:b/>
                <w:bCs/>
                <w:color w:val="000000"/>
              </w:rPr>
              <w:t>Policy Document</w:t>
            </w:r>
          </w:p>
        </w:tc>
        <w:tc>
          <w:tcPr>
            <w:tcW w:w="65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0FE5" w14:textId="77777777" w:rsidR="00E56E3B" w:rsidRDefault="009D7C2B">
            <w:r>
              <w:rPr>
                <w:rFonts w:ascii="Arial" w:eastAsia="Arial" w:hAnsi="Arial" w:cs="Arial"/>
                <w:b/>
                <w:bCs/>
                <w:color w:val="000000"/>
              </w:rPr>
              <w:t>Key Targets</w:t>
            </w:r>
          </w:p>
        </w:tc>
      </w:tr>
      <w:tr w:rsidR="00E56E3B" w14:paraId="65200F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E7" w14:textId="77777777" w:rsidR="00E56E3B" w:rsidRDefault="009D7C2B">
            <w:r>
              <w:rPr>
                <w:rFonts w:ascii="Arial" w:eastAsia="Arial" w:hAnsi="Arial" w:cs="Arial"/>
                <w:b/>
                <w:bCs/>
                <w:color w:val="000000"/>
              </w:rPr>
              <w:t>NDC 3.0 (Nov 2024, COP29)</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E8" w14:textId="77777777" w:rsidR="00E56E3B" w:rsidRDefault="009D7C2B">
            <w:r>
              <w:rPr>
                <w:rFonts w:ascii="Arial" w:eastAsia="Arial" w:hAnsi="Arial" w:cs="Arial"/>
                <w:color w:val="000000"/>
              </w:rPr>
              <w:t>59–67% emissions reduction by 2035 vs. 2005; climate neutrality by 2050</w:t>
            </w:r>
          </w:p>
        </w:tc>
      </w:tr>
      <w:tr w:rsidR="00E56E3B" w14:paraId="65200F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EA" w14:textId="77777777" w:rsidR="00E56E3B" w:rsidRDefault="009D7C2B">
            <w:r>
              <w:rPr>
                <w:rFonts w:ascii="Arial" w:eastAsia="Arial" w:hAnsi="Arial" w:cs="Arial"/>
                <w:b/>
                <w:bCs/>
                <w:color w:val="000000"/>
              </w:rPr>
              <w:t>Previous NDC (2023)</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EB" w14:textId="77777777" w:rsidR="00E56E3B" w:rsidRDefault="009D7C2B">
            <w:r>
              <w:rPr>
                <w:rFonts w:ascii="Arial" w:eastAsia="Arial" w:hAnsi="Arial" w:cs="Arial"/>
                <w:color w:val="000000"/>
              </w:rPr>
              <w:t>-48% by 2025, -53% by 2030 vs. 2005; zero illegal deforestation by 2030</w:t>
            </w:r>
          </w:p>
        </w:tc>
      </w:tr>
      <w:tr w:rsidR="00E56E3B" w14:paraId="65200F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ED" w14:textId="77777777" w:rsidR="00E56E3B" w:rsidRDefault="009D7C2B">
            <w:r>
              <w:rPr>
                <w:rFonts w:ascii="Arial" w:eastAsia="Arial" w:hAnsi="Arial" w:cs="Arial"/>
                <w:b/>
                <w:bCs/>
                <w:color w:val="000000"/>
              </w:rPr>
              <w:t>Renewable Energy Target</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EE" w14:textId="77777777" w:rsidR="00E56E3B" w:rsidRDefault="009D7C2B">
            <w:r>
              <w:rPr>
                <w:rFonts w:ascii="Arial" w:eastAsia="Arial" w:hAnsi="Arial" w:cs="Arial"/>
                <w:color w:val="000000"/>
              </w:rPr>
              <w:t>90% electricity from renewables by 2030 (already at 88% in 2024); 45-50% of total energy</w:t>
            </w:r>
          </w:p>
        </w:tc>
      </w:tr>
      <w:tr w:rsidR="00E56E3B" w14:paraId="65200F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F0" w14:textId="77777777" w:rsidR="00E56E3B" w:rsidRDefault="009D7C2B">
            <w:r>
              <w:rPr>
                <w:rFonts w:ascii="Arial" w:eastAsia="Arial" w:hAnsi="Arial" w:cs="Arial"/>
                <w:b/>
                <w:bCs/>
                <w:color w:val="000000"/>
              </w:rPr>
              <w:t>Nova Industria Brasil (2024)</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F1" w14:textId="77777777" w:rsidR="00E56E3B" w:rsidRDefault="009D7C2B">
            <w:r>
              <w:rPr>
                <w:rFonts w:ascii="Arial" w:eastAsia="Arial" w:hAnsi="Arial" w:cs="Arial"/>
                <w:color w:val="000000"/>
              </w:rPr>
              <w:t>R$300 billion (2024-2026) for industrial decarbonization; green hydrogen, biofuels, bioeconomy</w:t>
            </w:r>
          </w:p>
        </w:tc>
      </w:tr>
      <w:tr w:rsidR="00E56E3B" w14:paraId="65200F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F3" w14:textId="77777777" w:rsidR="00E56E3B" w:rsidRDefault="009D7C2B">
            <w:r>
              <w:rPr>
                <w:rFonts w:ascii="Arial" w:eastAsia="Arial" w:hAnsi="Arial" w:cs="Arial"/>
                <w:b/>
                <w:bCs/>
                <w:color w:val="000000"/>
              </w:rPr>
              <w:t>Deforestation</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F4" w14:textId="77777777" w:rsidR="00E56E3B" w:rsidRDefault="009D7C2B">
            <w:r>
              <w:rPr>
                <w:rFonts w:ascii="Arial" w:eastAsia="Arial" w:hAnsi="Arial" w:cs="Arial"/>
                <w:color w:val="000000"/>
              </w:rPr>
              <w:t>Zero illegal deforestation by 2030 (Amazon + Cerrado); PPCDAm plan 2023</w:t>
            </w:r>
          </w:p>
        </w:tc>
      </w:tr>
      <w:tr w:rsidR="00E56E3B" w14:paraId="65200F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F6" w14:textId="77777777" w:rsidR="00E56E3B" w:rsidRDefault="009D7C2B">
            <w:r>
              <w:rPr>
                <w:rFonts w:ascii="Arial" w:eastAsia="Arial" w:hAnsi="Arial" w:cs="Arial"/>
                <w:b/>
                <w:bCs/>
                <w:color w:val="000000"/>
              </w:rPr>
              <w:t>Baseline (2023)</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0FF7" w14:textId="77777777" w:rsidR="00E56E3B" w:rsidRDefault="009D7C2B">
            <w:r>
              <w:rPr>
                <w:rFonts w:ascii="Arial" w:eastAsia="Arial" w:hAnsi="Arial" w:cs="Arial"/>
                <w:color w:val="000000"/>
              </w:rPr>
              <w:t>Hydro: ~65%; Wind: ~12%; Solar: ~5%; Biomass: ~8%; Fossil: ~10% of electricity</w:t>
            </w:r>
          </w:p>
        </w:tc>
      </w:tr>
    </w:tbl>
    <w:p w14:paraId="65200FF9" w14:textId="77777777" w:rsidR="00E56E3B" w:rsidRDefault="00E56E3B">
      <w:pPr>
        <w:spacing w:after="80"/>
      </w:pPr>
    </w:p>
    <w:p w14:paraId="65200FFA" w14:textId="77777777" w:rsidR="00E56E3B" w:rsidRDefault="009D7C2B">
      <w:pPr>
        <w:pStyle w:val="Heading2"/>
      </w:pPr>
      <w:bookmarkStart w:id="19" w:name="_Toc226561775"/>
      <w:r>
        <w:t>4.2 Scenario S1 — Full Decarbonization (BR-S1)</w:t>
      </w:r>
      <w:bookmarkEnd w:id="19"/>
    </w:p>
    <w:p w14:paraId="65200FFB" w14:textId="77777777" w:rsidR="00E56E3B" w:rsidRDefault="009D7C2B">
      <w:pPr>
        <w:spacing w:after="120"/>
      </w:pPr>
      <w:r>
        <w:rPr>
          <w:rFonts w:ascii="Arial" w:eastAsia="Arial" w:hAnsi="Arial" w:cs="Arial"/>
          <w:sz w:val="22"/>
          <w:szCs w:val="22"/>
        </w:rPr>
        <w:t>Given Brazil's already high renewable electricity share, this scenario focuses on the complete elimination of fossil-based generation (natural gas peakers, oil-based backup), and the decarbonization of heat and transport sectors that feed into the MRIO model. The electricity sector shock is moderate; the primary shock is in natural gas and oil input coefficients.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E56E3B" w14:paraId="65200FFD"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1A5276"/>
            <w:tcMar>
              <w:top w:w="120" w:type="dxa"/>
              <w:left w:w="140" w:type="dxa"/>
              <w:bottom w:w="120" w:type="dxa"/>
              <w:right w:w="140" w:type="dxa"/>
            </w:tcMar>
          </w:tcPr>
          <w:p w14:paraId="65200FFC" w14:textId="77777777" w:rsidR="00E56E3B" w:rsidRDefault="009D7C2B">
            <w:r>
              <w:rPr>
                <w:rFonts w:ascii="Arial" w:eastAsia="Arial" w:hAnsi="Arial" w:cs="Arial"/>
                <w:b/>
                <w:bCs/>
                <w:color w:val="FFFFFF"/>
                <w:sz w:val="24"/>
                <w:szCs w:val="24"/>
              </w:rPr>
              <w:t>BR-S1 — Brazil Full Decarbonization</w:t>
            </w:r>
          </w:p>
        </w:tc>
      </w:tr>
      <w:tr w:rsidR="00E56E3B" w14:paraId="652010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0FFE" w14:textId="77777777" w:rsidR="00E56E3B" w:rsidRDefault="009D7C2B">
            <w:r>
              <w:rPr>
                <w:rFonts w:ascii="Arial" w:eastAsia="Arial" w:hAnsi="Arial" w:cs="Arial"/>
                <w:b/>
                <w:bCs/>
                <w:color w:val="000000"/>
              </w:rPr>
              <w:t>Parameter</w:t>
            </w:r>
          </w:p>
        </w:tc>
        <w:tc>
          <w:tcPr>
            <w:tcW w:w="34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0FFF" w14:textId="77777777" w:rsidR="00E56E3B" w:rsidRDefault="009D7C2B">
            <w:r>
              <w:rPr>
                <w:rFonts w:ascii="Arial" w:eastAsia="Arial" w:hAnsi="Arial" w:cs="Arial"/>
                <w:b/>
                <w:bCs/>
                <w:color w:val="000000"/>
              </w:rPr>
              <w:t>2030 Target</w:t>
            </w:r>
          </w:p>
        </w:tc>
        <w:tc>
          <w:tcPr>
            <w:tcW w:w="34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1000" w14:textId="77777777" w:rsidR="00E56E3B" w:rsidRDefault="009D7C2B">
            <w:r>
              <w:rPr>
                <w:rFonts w:ascii="Arial" w:eastAsia="Arial" w:hAnsi="Arial" w:cs="Arial"/>
                <w:b/>
                <w:bCs/>
                <w:color w:val="000000"/>
              </w:rPr>
              <w:t>2050 Target</w:t>
            </w:r>
          </w:p>
        </w:tc>
      </w:tr>
      <w:tr w:rsidR="00E56E3B" w14:paraId="652010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02" w14:textId="77777777" w:rsidR="00E56E3B" w:rsidRDefault="009D7C2B">
            <w:r>
              <w:rPr>
                <w:rFonts w:ascii="Arial" w:eastAsia="Arial" w:hAnsi="Arial" w:cs="Arial"/>
                <w:b/>
                <w:bCs/>
                <w:color w:val="333333"/>
              </w:rPr>
              <w:t>Fossil electricity share</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03" w14:textId="77777777" w:rsidR="00E56E3B" w:rsidRDefault="009D7C2B">
            <w:r>
              <w:rPr>
                <w:rFonts w:ascii="Arial" w:eastAsia="Arial" w:hAnsi="Arial" w:cs="Arial"/>
                <w:color w:val="000000"/>
              </w:rPr>
              <w:t>~10% → 0% by 2030 (aggressive)</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04" w14:textId="77777777" w:rsidR="00E56E3B" w:rsidRDefault="009D7C2B">
            <w:r>
              <w:rPr>
                <w:rFonts w:ascii="Arial" w:eastAsia="Arial" w:hAnsi="Arial" w:cs="Arial"/>
                <w:color w:val="000000"/>
              </w:rPr>
              <w:t>0% (complete phase-out)</w:t>
            </w:r>
          </w:p>
        </w:tc>
      </w:tr>
      <w:tr w:rsidR="00E56E3B" w14:paraId="652010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06" w14:textId="77777777" w:rsidR="00E56E3B" w:rsidRDefault="009D7C2B">
            <w:r>
              <w:rPr>
                <w:rFonts w:ascii="Arial" w:eastAsia="Arial" w:hAnsi="Arial" w:cs="Arial"/>
                <w:b/>
                <w:bCs/>
                <w:color w:val="333333"/>
              </w:rPr>
              <w:t>Renewable electricity share</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07" w14:textId="77777777" w:rsidR="00E56E3B" w:rsidRDefault="009D7C2B">
            <w:r>
              <w:rPr>
                <w:rFonts w:ascii="Arial" w:eastAsia="Arial" w:hAnsi="Arial" w:cs="Arial"/>
                <w:color w:val="000000"/>
              </w:rPr>
              <w:t>88% → 100% by 2030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08" w14:textId="77777777" w:rsidR="00E56E3B" w:rsidRDefault="009D7C2B">
            <w:r>
              <w:rPr>
                <w:rFonts w:ascii="Arial" w:eastAsia="Arial" w:hAnsi="Arial" w:cs="Arial"/>
                <w:color w:val="000000"/>
              </w:rPr>
              <w:t>100% maintained</w:t>
            </w:r>
          </w:p>
        </w:tc>
      </w:tr>
      <w:tr w:rsidR="00E56E3B" w14:paraId="652010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0A" w14:textId="77777777" w:rsidR="00E56E3B" w:rsidRDefault="009D7C2B">
            <w:r>
              <w:rPr>
                <w:rFonts w:ascii="Arial" w:eastAsia="Arial" w:hAnsi="Arial" w:cs="Arial"/>
                <w:b/>
                <w:bCs/>
                <w:color w:val="333333"/>
              </w:rPr>
              <w:t>Gas electricity coefficient</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0B" w14:textId="77777777" w:rsidR="00E56E3B" w:rsidRDefault="009D7C2B">
            <w:r>
              <w:rPr>
                <w:rFonts w:ascii="Arial" w:eastAsia="Arial" w:hAnsi="Arial" w:cs="Arial"/>
                <w:color w:val="000000"/>
              </w:rPr>
              <w:t>Reduce to 0 in A-matrix by 2030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0C" w14:textId="77777777" w:rsidR="00E56E3B" w:rsidRDefault="009D7C2B">
            <w:r>
              <w:rPr>
                <w:rFonts w:ascii="Arial" w:eastAsia="Arial" w:hAnsi="Arial" w:cs="Arial"/>
                <w:color w:val="000000"/>
              </w:rPr>
              <w:t>0 (maintained)</w:t>
            </w:r>
          </w:p>
        </w:tc>
      </w:tr>
      <w:tr w:rsidR="00E56E3B" w14:paraId="652010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0E" w14:textId="77777777" w:rsidR="00E56E3B" w:rsidRDefault="009D7C2B">
            <w:r>
              <w:rPr>
                <w:rFonts w:ascii="Arial" w:eastAsia="Arial" w:hAnsi="Arial" w:cs="Arial"/>
                <w:b/>
                <w:bCs/>
                <w:color w:val="333333"/>
              </w:rPr>
              <w:t>Oil electricity coefficient</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0F" w14:textId="77777777" w:rsidR="00E56E3B" w:rsidRDefault="009D7C2B">
            <w:r>
              <w:rPr>
                <w:rFonts w:ascii="Arial" w:eastAsia="Arial" w:hAnsi="Arial" w:cs="Arial"/>
                <w:color w:val="000000"/>
              </w:rPr>
              <w:t>Reduce to 0 in A-matrix by 2030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10" w14:textId="77777777" w:rsidR="00E56E3B" w:rsidRDefault="009D7C2B">
            <w:r>
              <w:rPr>
                <w:rFonts w:ascii="Arial" w:eastAsia="Arial" w:hAnsi="Arial" w:cs="Arial"/>
                <w:color w:val="000000"/>
              </w:rPr>
              <w:t>0 (maintained)</w:t>
            </w:r>
          </w:p>
        </w:tc>
      </w:tr>
      <w:tr w:rsidR="00E56E3B" w14:paraId="652010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12" w14:textId="77777777" w:rsidR="00E56E3B" w:rsidRDefault="009D7C2B">
            <w:r>
              <w:rPr>
                <w:rFonts w:ascii="Arial" w:eastAsia="Arial" w:hAnsi="Arial" w:cs="Arial"/>
                <w:b/>
                <w:bCs/>
                <w:color w:val="333333"/>
              </w:rPr>
              <w:t>Hydro + Wind + Solar</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13" w14:textId="77777777" w:rsidR="00E56E3B" w:rsidRDefault="009D7C2B">
            <w:r>
              <w:rPr>
                <w:rFonts w:ascii="Arial" w:eastAsia="Arial" w:hAnsi="Arial" w:cs="Arial"/>
                <w:color w:val="000000"/>
              </w:rPr>
              <w:t>Proportional reallocation to 100%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14" w14:textId="77777777" w:rsidR="00E56E3B" w:rsidRDefault="009D7C2B">
            <w:r>
              <w:rPr>
                <w:rFonts w:ascii="Arial" w:eastAsia="Arial" w:hAnsi="Arial" w:cs="Arial"/>
                <w:color w:val="000000"/>
              </w:rPr>
              <w:t>Maintained at 100%</w:t>
            </w:r>
          </w:p>
        </w:tc>
      </w:tr>
      <w:tr w:rsidR="00E56E3B" w14:paraId="652010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16" w14:textId="77777777" w:rsidR="00E56E3B" w:rsidRDefault="009D7C2B">
            <w:r>
              <w:rPr>
                <w:rFonts w:ascii="Arial" w:eastAsia="Arial" w:hAnsi="Arial" w:cs="Arial"/>
                <w:b/>
                <w:bCs/>
                <w:color w:val="333333"/>
              </w:rPr>
              <w:lastRenderedPageBreak/>
              <w:t>CO2 emission intensity (elec.)</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17" w14:textId="77777777" w:rsidR="00E56E3B" w:rsidRDefault="009D7C2B">
            <w:r>
              <w:rPr>
                <w:rFonts w:ascii="Arial" w:eastAsia="Arial" w:hAnsi="Arial" w:cs="Arial"/>
                <w:color w:val="000000"/>
              </w:rPr>
              <w:t>Reduce to near-zero by 2030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18" w14:textId="77777777" w:rsidR="00E56E3B" w:rsidRDefault="009D7C2B">
            <w:r>
              <w:rPr>
                <w:rFonts w:ascii="Arial" w:eastAsia="Arial" w:hAnsi="Arial" w:cs="Arial"/>
                <w:color w:val="000000"/>
              </w:rPr>
              <w:t>0 by 2050</w:t>
            </w:r>
          </w:p>
        </w:tc>
      </w:tr>
      <w:tr w:rsidR="00E56E3B" w14:paraId="652010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1A" w14:textId="77777777" w:rsidR="00E56E3B" w:rsidRDefault="009D7C2B">
            <w:r>
              <w:rPr>
                <w:rFonts w:ascii="Arial" w:eastAsia="Arial" w:hAnsi="Arial" w:cs="Arial"/>
                <w:b/>
                <w:bCs/>
                <w:color w:val="333333"/>
              </w:rPr>
              <w:t>Shock kind in MARIO</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1B" w14:textId="77777777" w:rsidR="00E56E3B" w:rsidRDefault="009D7C2B">
            <w:r>
              <w:rPr>
                <w:rFonts w:ascii="Arial" w:eastAsia="Arial" w:hAnsi="Arial" w:cs="Arial"/>
                <w:color w:val="000000"/>
              </w:rPr>
              <w:t>New Value = 0 (gas/oil electricity)</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1C" w14:textId="77777777" w:rsidR="00E56E3B" w:rsidRDefault="009D7C2B">
            <w:r>
              <w:rPr>
                <w:rFonts w:ascii="Arial" w:eastAsia="Arial" w:hAnsi="Arial" w:cs="Arial"/>
                <w:color w:val="000000"/>
              </w:rPr>
              <w:t>New Value = 0</w:t>
            </w:r>
          </w:p>
        </w:tc>
      </w:tr>
    </w:tbl>
    <w:p w14:paraId="6520101E" w14:textId="77777777" w:rsidR="00E56E3B" w:rsidRDefault="00E56E3B">
      <w:pPr>
        <w:spacing w:after="80"/>
      </w:pPr>
    </w:p>
    <w:p w14:paraId="6520101F" w14:textId="77777777" w:rsidR="00E56E3B" w:rsidRDefault="009D7C2B">
      <w:pPr>
        <w:pStyle w:val="Heading2"/>
      </w:pPr>
      <w:bookmarkStart w:id="20" w:name="_Toc226561776"/>
      <w:r>
        <w:t>4.3 Scenario S2 — National Policy Target (BR-S2)</w:t>
      </w:r>
      <w:bookmarkEnd w:id="20"/>
    </w:p>
    <w:p w14:paraId="65201020" w14:textId="77777777" w:rsidR="00E56E3B" w:rsidRDefault="009D7C2B">
      <w:pPr>
        <w:spacing w:after="120"/>
      </w:pPr>
      <w:r>
        <w:rPr>
          <w:rFonts w:ascii="Arial" w:eastAsia="Arial" w:hAnsi="Arial" w:cs="Arial"/>
          <w:sz w:val="22"/>
          <w:szCs w:val="22"/>
        </w:rPr>
        <w:t>Follows Brazil's actual policy trajectory: 90% renewables in electricity by 2030 (already nearly achieved), with deeper industrial and transport decarbonization through the Nova Industria Brasil program. The primary MARIO shocks involve input coefficients for fossil fuels in industrial processes, not just power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E56E3B" w14:paraId="65201022"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1A7A4E"/>
            <w:tcMar>
              <w:top w:w="120" w:type="dxa"/>
              <w:left w:w="140" w:type="dxa"/>
              <w:bottom w:w="120" w:type="dxa"/>
              <w:right w:w="140" w:type="dxa"/>
            </w:tcMar>
          </w:tcPr>
          <w:p w14:paraId="65201021" w14:textId="77777777" w:rsidR="00E56E3B" w:rsidRDefault="009D7C2B">
            <w:r>
              <w:rPr>
                <w:rFonts w:ascii="Arial" w:eastAsia="Arial" w:hAnsi="Arial" w:cs="Arial"/>
                <w:b/>
                <w:bCs/>
                <w:color w:val="FFFFFF"/>
                <w:sz w:val="24"/>
                <w:szCs w:val="24"/>
              </w:rPr>
              <w:t>BR-S2 — Brazil Policy Target</w:t>
            </w:r>
          </w:p>
        </w:tc>
      </w:tr>
      <w:tr w:rsidR="00E56E3B" w14:paraId="652010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1023" w14:textId="77777777" w:rsidR="00E56E3B" w:rsidRDefault="009D7C2B">
            <w:r>
              <w:rPr>
                <w:rFonts w:ascii="Arial" w:eastAsia="Arial" w:hAnsi="Arial" w:cs="Arial"/>
                <w:b/>
                <w:bCs/>
                <w:color w:val="000000"/>
              </w:rPr>
              <w:t>Parameter</w:t>
            </w:r>
          </w:p>
        </w:tc>
        <w:tc>
          <w:tcPr>
            <w:tcW w:w="34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1024" w14:textId="77777777" w:rsidR="00E56E3B" w:rsidRDefault="009D7C2B">
            <w:r>
              <w:rPr>
                <w:rFonts w:ascii="Arial" w:eastAsia="Arial" w:hAnsi="Arial" w:cs="Arial"/>
                <w:b/>
                <w:bCs/>
                <w:color w:val="000000"/>
              </w:rPr>
              <w:t>2030 Target</w:t>
            </w:r>
          </w:p>
        </w:tc>
        <w:tc>
          <w:tcPr>
            <w:tcW w:w="34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1025" w14:textId="77777777" w:rsidR="00E56E3B" w:rsidRDefault="009D7C2B">
            <w:r>
              <w:rPr>
                <w:rFonts w:ascii="Arial" w:eastAsia="Arial" w:hAnsi="Arial" w:cs="Arial"/>
                <w:b/>
                <w:bCs/>
                <w:color w:val="000000"/>
              </w:rPr>
              <w:t>2050 Target</w:t>
            </w:r>
          </w:p>
        </w:tc>
      </w:tr>
      <w:tr w:rsidR="00E56E3B" w14:paraId="652010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27" w14:textId="77777777" w:rsidR="00E56E3B" w:rsidRDefault="009D7C2B">
            <w:r>
              <w:rPr>
                <w:rFonts w:ascii="Arial" w:eastAsia="Arial" w:hAnsi="Arial" w:cs="Arial"/>
                <w:b/>
                <w:bCs/>
                <w:color w:val="333333"/>
              </w:rPr>
              <w:t>Renewable electricity</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28" w14:textId="77777777" w:rsidR="00E56E3B" w:rsidRDefault="009D7C2B">
            <w:r>
              <w:rPr>
                <w:rFonts w:ascii="Arial" w:eastAsia="Arial" w:hAnsi="Arial" w:cs="Arial"/>
                <w:color w:val="000000"/>
              </w:rPr>
              <w:t>90% by 2030 (target, ~achieved)</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29" w14:textId="77777777" w:rsidR="00E56E3B" w:rsidRDefault="009D7C2B">
            <w:r>
              <w:rPr>
                <w:rFonts w:ascii="Arial" w:eastAsia="Arial" w:hAnsi="Arial" w:cs="Arial"/>
                <w:color w:val="000000"/>
              </w:rPr>
              <w:t>95%+ by 2050</w:t>
            </w:r>
          </w:p>
        </w:tc>
      </w:tr>
      <w:tr w:rsidR="00E56E3B" w14:paraId="652010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2B" w14:textId="77777777" w:rsidR="00E56E3B" w:rsidRDefault="009D7C2B">
            <w:r>
              <w:rPr>
                <w:rFonts w:ascii="Arial" w:eastAsia="Arial" w:hAnsi="Arial" w:cs="Arial"/>
                <w:b/>
                <w:bCs/>
                <w:color w:val="333333"/>
              </w:rPr>
              <w:t>Total renewable energy share</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2C" w14:textId="77777777" w:rsidR="00E56E3B" w:rsidRDefault="009D7C2B">
            <w:r>
              <w:rPr>
                <w:rFonts w:ascii="Arial" w:eastAsia="Arial" w:hAnsi="Arial" w:cs="Arial"/>
                <w:color w:val="000000"/>
              </w:rPr>
              <w:t>45–50% of primary energy by 2030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2D" w14:textId="77777777" w:rsidR="00E56E3B" w:rsidRDefault="009D7C2B">
            <w:r>
              <w:rPr>
                <w:rFonts w:ascii="Arial" w:eastAsia="Arial" w:hAnsi="Arial" w:cs="Arial"/>
                <w:color w:val="000000"/>
              </w:rPr>
              <w:t>Climate neutral by 2050</w:t>
            </w:r>
          </w:p>
        </w:tc>
      </w:tr>
      <w:tr w:rsidR="00E56E3B" w14:paraId="652010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2F" w14:textId="77777777" w:rsidR="00E56E3B" w:rsidRDefault="009D7C2B">
            <w:r>
              <w:rPr>
                <w:rFonts w:ascii="Arial" w:eastAsia="Arial" w:hAnsi="Arial" w:cs="Arial"/>
                <w:b/>
                <w:bCs/>
                <w:color w:val="333333"/>
              </w:rPr>
              <w:t>GHG emissions target</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30" w14:textId="77777777" w:rsidR="00E56E3B" w:rsidRDefault="009D7C2B">
            <w:r>
              <w:rPr>
                <w:rFonts w:ascii="Arial" w:eastAsia="Arial" w:hAnsi="Arial" w:cs="Arial"/>
                <w:color w:val="000000"/>
              </w:rPr>
              <w:t>-53% by 2030 vs. 2005</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31" w14:textId="77777777" w:rsidR="00E56E3B" w:rsidRDefault="009D7C2B">
            <w:r>
              <w:rPr>
                <w:rFonts w:ascii="Arial" w:eastAsia="Arial" w:hAnsi="Arial" w:cs="Arial"/>
                <w:color w:val="000000"/>
              </w:rPr>
              <w:t>-59 to -67% by 2035; net-zero 2050</w:t>
            </w:r>
          </w:p>
        </w:tc>
      </w:tr>
      <w:tr w:rsidR="00E56E3B" w14:paraId="652010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33" w14:textId="77777777" w:rsidR="00E56E3B" w:rsidRDefault="009D7C2B">
            <w:r>
              <w:rPr>
                <w:rFonts w:ascii="Arial" w:eastAsia="Arial" w:hAnsi="Arial" w:cs="Arial"/>
                <w:b/>
                <w:bCs/>
                <w:color w:val="333333"/>
              </w:rPr>
              <w:t>Deforestation (LULUCF)</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34" w14:textId="77777777" w:rsidR="00E56E3B" w:rsidRDefault="009D7C2B">
            <w:r>
              <w:rPr>
                <w:rFonts w:ascii="Arial" w:eastAsia="Arial" w:hAnsi="Arial" w:cs="Arial"/>
                <w:color w:val="000000"/>
              </w:rPr>
              <w:t>Zero illegal deforestation 2030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35" w14:textId="77777777" w:rsidR="00E56E3B" w:rsidRDefault="009D7C2B">
            <w:r>
              <w:rPr>
                <w:rFonts w:ascii="Arial" w:eastAsia="Arial" w:hAnsi="Arial" w:cs="Arial"/>
                <w:color w:val="000000"/>
              </w:rPr>
              <w:t>LULUCF carbon sink by 2050</w:t>
            </w:r>
          </w:p>
        </w:tc>
      </w:tr>
      <w:tr w:rsidR="00E56E3B" w14:paraId="652010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37" w14:textId="77777777" w:rsidR="00E56E3B" w:rsidRDefault="009D7C2B">
            <w:r>
              <w:rPr>
                <w:rFonts w:ascii="Arial" w:eastAsia="Arial" w:hAnsi="Arial" w:cs="Arial"/>
                <w:b/>
                <w:bCs/>
                <w:color w:val="333333"/>
              </w:rPr>
              <w:t>Industrial decarbonization</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38" w14:textId="77777777" w:rsidR="00E56E3B" w:rsidRDefault="009D7C2B">
            <w:r>
              <w:rPr>
                <w:rFonts w:ascii="Arial" w:eastAsia="Arial" w:hAnsi="Arial" w:cs="Arial"/>
                <w:color w:val="000000"/>
              </w:rPr>
              <w:t>R$300B Nova Industria 2024-2026</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39" w14:textId="77777777" w:rsidR="00E56E3B" w:rsidRDefault="009D7C2B">
            <w:r>
              <w:rPr>
                <w:rFonts w:ascii="Arial" w:eastAsia="Arial" w:hAnsi="Arial" w:cs="Arial"/>
                <w:color w:val="000000"/>
              </w:rPr>
              <w:t>Full hard-to-abate coverage</w:t>
            </w:r>
          </w:p>
        </w:tc>
      </w:tr>
      <w:tr w:rsidR="00E56E3B" w14:paraId="652010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3B" w14:textId="77777777" w:rsidR="00E56E3B" w:rsidRDefault="009D7C2B">
            <w:r>
              <w:rPr>
                <w:rFonts w:ascii="Arial" w:eastAsia="Arial" w:hAnsi="Arial" w:cs="Arial"/>
                <w:b/>
                <w:bCs/>
                <w:color w:val="333333"/>
              </w:rPr>
              <w:t>Gas electricity coefficient</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3C" w14:textId="77777777" w:rsidR="00E56E3B" w:rsidRDefault="009D7C2B">
            <w:r>
              <w:rPr>
                <w:rFonts w:ascii="Arial" w:eastAsia="Arial" w:hAnsi="Arial" w:cs="Arial"/>
                <w:color w:val="000000"/>
              </w:rPr>
              <w:t>Reduce by ~80% by 2030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3D" w14:textId="77777777" w:rsidR="00E56E3B" w:rsidRDefault="009D7C2B">
            <w:r>
              <w:rPr>
                <w:rFonts w:ascii="Arial" w:eastAsia="Arial" w:hAnsi="Arial" w:cs="Arial"/>
                <w:color w:val="000000"/>
              </w:rPr>
              <w:t>Reduce to ~0 by 2050</w:t>
            </w:r>
          </w:p>
        </w:tc>
      </w:tr>
      <w:tr w:rsidR="00E56E3B" w14:paraId="652010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3F" w14:textId="77777777" w:rsidR="00E56E3B" w:rsidRDefault="009D7C2B">
            <w:r>
              <w:rPr>
                <w:rFonts w:ascii="Arial" w:eastAsia="Arial" w:hAnsi="Arial" w:cs="Arial"/>
                <w:b/>
                <w:bCs/>
                <w:color w:val="333333"/>
              </w:rPr>
              <w:t>Shock kind in MARIO</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40" w14:textId="77777777" w:rsidR="00E56E3B" w:rsidRDefault="009D7C2B">
            <w:r>
              <w:rPr>
                <w:rFonts w:ascii="Arial" w:eastAsia="Arial" w:hAnsi="Arial" w:cs="Arial"/>
                <w:color w:val="000000"/>
              </w:rPr>
              <w:t>Percentage (electricity minor)</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41" w14:textId="77777777" w:rsidR="00E56E3B" w:rsidRDefault="009D7C2B">
            <w:r>
              <w:rPr>
                <w:rFonts w:ascii="Arial" w:eastAsia="Arial" w:hAnsi="Arial" w:cs="Arial"/>
                <w:color w:val="000000"/>
              </w:rPr>
              <w:t>New Value (LULUCF shock large)</w:t>
            </w:r>
          </w:p>
        </w:tc>
      </w:tr>
    </w:tbl>
    <w:p w14:paraId="65201043" w14:textId="77777777" w:rsidR="00E56E3B" w:rsidRDefault="00E56E3B">
      <w:pPr>
        <w:spacing w:after="80"/>
      </w:pPr>
    </w:p>
    <w:p w14:paraId="65201044" w14:textId="77777777" w:rsidR="00E56E3B" w:rsidRDefault="009D7C2B">
      <w:pPr>
        <w:spacing w:after="120"/>
      </w:pPr>
      <w:r>
        <w:rPr>
          <w:rFonts w:ascii="Arial" w:eastAsia="Arial" w:hAnsi="Arial" w:cs="Arial"/>
          <w:sz w:val="22"/>
          <w:szCs w:val="22"/>
        </w:rPr>
        <w:t>Policy sources: Brazil NDC 3.0 submitted UNFCCC November 2024 (COP29); Updated NDC 2023; Nova Industria Brasil launch January 2024; PPCDAm (Action Plan for Prevention and Combat of Deforestation in the Amazon) 2023 revision; IEA Brazil Energy Country Profile 2024.</w:t>
      </w:r>
    </w:p>
    <w:p w14:paraId="65201045" w14:textId="77777777" w:rsidR="00E56E3B" w:rsidRDefault="009D7C2B">
      <w:r>
        <w:br w:type="page"/>
      </w:r>
    </w:p>
    <w:p w14:paraId="65201046" w14:textId="77777777" w:rsidR="00E56E3B" w:rsidRDefault="009D7C2B">
      <w:pPr>
        <w:pStyle w:val="Heading1"/>
        <w:pBdr>
          <w:bottom w:val="single" w:sz="8" w:space="4" w:color="2E5FA3"/>
        </w:pBdr>
      </w:pPr>
      <w:bookmarkStart w:id="21" w:name="s5"/>
      <w:bookmarkStart w:id="22" w:name="_Toc226561777"/>
      <w:r>
        <w:lastRenderedPageBreak/>
        <w:t>5. Rest of Africa (WF Region)</w:t>
      </w:r>
      <w:bookmarkEnd w:id="21"/>
      <w:bookmarkEnd w:id="22"/>
    </w:p>
    <w:p w14:paraId="65201047" w14:textId="77777777" w:rsidR="00E56E3B" w:rsidRDefault="009D7C2B">
      <w:pPr>
        <w:pStyle w:val="Heading2"/>
      </w:pPr>
      <w:bookmarkStart w:id="23" w:name="_Toc226561778"/>
      <w:r>
        <w:t>5.1 Policy Context</w:t>
      </w:r>
      <w:bookmarkEnd w:id="23"/>
    </w:p>
    <w:p w14:paraId="65201048" w14:textId="77777777" w:rsidR="00E56E3B" w:rsidRDefault="009D7C2B">
      <w:pPr>
        <w:spacing w:after="120"/>
      </w:pPr>
      <w:r>
        <w:rPr>
          <w:rFonts w:ascii="Arial" w:eastAsia="Arial" w:hAnsi="Arial" w:cs="Arial"/>
          <w:sz w:val="22"/>
          <w:szCs w:val="22"/>
        </w:rPr>
        <w:t>The 'Rest of Africa' Exiobase region aggregates sub-Saharan Africa (excluding South Africa) and North African countries not individually represented. This region faces a dual challenge: expanding energy access for approximately 600 million people without electricity while meeting climate commitments. The African Union's Agenda 2063 and the Nairobi Declaration (2023) set the continental framework, while AREI (Africa Renewable Energy Initiative) targets 300 GW of renewable capacity by 2030.</w:t>
      </w:r>
    </w:p>
    <w:p w14:paraId="65201049" w14:textId="77777777" w:rsidR="00E56E3B" w:rsidRDefault="00E56E3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56E3B" w14:paraId="652010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104A" w14:textId="77777777" w:rsidR="00E56E3B" w:rsidRDefault="009D7C2B">
            <w:r>
              <w:rPr>
                <w:rFonts w:ascii="Arial" w:eastAsia="Arial" w:hAnsi="Arial" w:cs="Arial"/>
                <w:b/>
                <w:bCs/>
                <w:color w:val="000000"/>
              </w:rPr>
              <w:t>Policy Document</w:t>
            </w:r>
          </w:p>
        </w:tc>
        <w:tc>
          <w:tcPr>
            <w:tcW w:w="65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104B" w14:textId="77777777" w:rsidR="00E56E3B" w:rsidRDefault="009D7C2B">
            <w:r>
              <w:rPr>
                <w:rFonts w:ascii="Arial" w:eastAsia="Arial" w:hAnsi="Arial" w:cs="Arial"/>
                <w:b/>
                <w:bCs/>
                <w:color w:val="000000"/>
              </w:rPr>
              <w:t>Key Targets</w:t>
            </w:r>
          </w:p>
        </w:tc>
      </w:tr>
      <w:tr w:rsidR="00E56E3B" w14:paraId="652010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4D" w14:textId="77777777" w:rsidR="00E56E3B" w:rsidRDefault="009D7C2B">
            <w:r>
              <w:rPr>
                <w:rFonts w:ascii="Arial" w:eastAsia="Arial" w:hAnsi="Arial" w:cs="Arial"/>
                <w:b/>
                <w:bCs/>
                <w:color w:val="000000"/>
              </w:rPr>
              <w:t>Nairobi Declaration (2023)</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4E" w14:textId="77777777" w:rsidR="00E56E3B" w:rsidRDefault="009D7C2B">
            <w:r>
              <w:rPr>
                <w:rFonts w:ascii="Arial" w:eastAsia="Arial" w:hAnsi="Arial" w:cs="Arial"/>
                <w:color w:val="000000"/>
              </w:rPr>
              <w:t>300 GW renewable capacity by 2030 (from 56 GW in 2022); renewable financing to 20%</w:t>
            </w:r>
          </w:p>
        </w:tc>
      </w:tr>
      <w:tr w:rsidR="00E56E3B" w14:paraId="652010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50" w14:textId="77777777" w:rsidR="00E56E3B" w:rsidRDefault="009D7C2B">
            <w:r>
              <w:rPr>
                <w:rFonts w:ascii="Arial" w:eastAsia="Arial" w:hAnsi="Arial" w:cs="Arial"/>
                <w:b/>
                <w:bCs/>
                <w:color w:val="000000"/>
              </w:rPr>
              <w:t>AREI (Africa RE Initiative)</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51" w14:textId="77777777" w:rsidR="00E56E3B" w:rsidRDefault="009D7C2B">
            <w:r>
              <w:rPr>
                <w:rFonts w:ascii="Arial" w:eastAsia="Arial" w:hAnsi="Arial" w:cs="Arial"/>
                <w:color w:val="000000"/>
              </w:rPr>
              <w:t>300 GW renewable by 2030; 10 GW Phase I completed; $600B investment needed</w:t>
            </w:r>
          </w:p>
        </w:tc>
      </w:tr>
      <w:tr w:rsidR="00E56E3B" w14:paraId="652010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53" w14:textId="77777777" w:rsidR="00E56E3B" w:rsidRDefault="009D7C2B">
            <w:r>
              <w:rPr>
                <w:rFonts w:ascii="Arial" w:eastAsia="Arial" w:hAnsi="Arial" w:cs="Arial"/>
                <w:b/>
                <w:bCs/>
                <w:color w:val="000000"/>
              </w:rPr>
              <w:t>Mission 300</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54" w14:textId="77777777" w:rsidR="00E56E3B" w:rsidRDefault="009D7C2B">
            <w:r>
              <w:rPr>
                <w:rFonts w:ascii="Arial" w:eastAsia="Arial" w:hAnsi="Arial" w:cs="Arial"/>
                <w:color w:val="000000"/>
              </w:rPr>
              <w:t>Electricity for 300 million people by 2030 (World Bank + AfDB); 90M per year required</w:t>
            </w:r>
          </w:p>
        </w:tc>
      </w:tr>
      <w:tr w:rsidR="00E56E3B" w14:paraId="652010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56" w14:textId="77777777" w:rsidR="00E56E3B" w:rsidRDefault="009D7C2B">
            <w:r>
              <w:rPr>
                <w:rFonts w:ascii="Arial" w:eastAsia="Arial" w:hAnsi="Arial" w:cs="Arial"/>
                <w:b/>
                <w:bCs/>
                <w:color w:val="000000"/>
              </w:rPr>
              <w:t>IEA Africa Energy Outlook 2022</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57" w14:textId="77777777" w:rsidR="00E56E3B" w:rsidRDefault="009D7C2B">
            <w:r>
              <w:rPr>
                <w:rFonts w:ascii="Arial" w:eastAsia="Arial" w:hAnsi="Arial" w:cs="Arial"/>
                <w:color w:val="000000"/>
              </w:rPr>
              <w:t>80%+ new power from renewables by 2030; 33% energy demand growth 2020-2030</w:t>
            </w:r>
          </w:p>
        </w:tc>
      </w:tr>
      <w:tr w:rsidR="00E56E3B" w14:paraId="652010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59" w14:textId="77777777" w:rsidR="00E56E3B" w:rsidRDefault="009D7C2B">
            <w:r>
              <w:rPr>
                <w:rFonts w:ascii="Arial" w:eastAsia="Arial" w:hAnsi="Arial" w:cs="Arial"/>
                <w:b/>
                <w:bCs/>
                <w:color w:val="000000"/>
              </w:rPr>
              <w:t>Morocco NDC (2021)</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5A" w14:textId="77777777" w:rsidR="00E56E3B" w:rsidRDefault="009D7C2B">
            <w:r>
              <w:rPr>
                <w:rFonts w:ascii="Arial" w:eastAsia="Arial" w:hAnsi="Arial" w:cs="Arial"/>
                <w:color w:val="000000"/>
              </w:rPr>
              <w:t>18.3% unconditional / 45.5% conditional GHG reduction by 2030 vs. BAU</w:t>
            </w:r>
          </w:p>
        </w:tc>
      </w:tr>
      <w:tr w:rsidR="00E56E3B" w14:paraId="652010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5C" w14:textId="77777777" w:rsidR="00E56E3B" w:rsidRDefault="009D7C2B">
            <w:r>
              <w:rPr>
                <w:rFonts w:ascii="Arial" w:eastAsia="Arial" w:hAnsi="Arial" w:cs="Arial"/>
                <w:b/>
                <w:bCs/>
                <w:color w:val="000000"/>
              </w:rPr>
              <w:t>Baseline (2022)</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5D" w14:textId="77777777" w:rsidR="00E56E3B" w:rsidRDefault="009D7C2B">
            <w:r>
              <w:rPr>
                <w:rFonts w:ascii="Arial" w:eastAsia="Arial" w:hAnsi="Arial" w:cs="Arial"/>
                <w:color w:val="000000"/>
              </w:rPr>
              <w:t>55%+ already from renewables (large hydro dominant); fossil 45%; 56 GW renewable installed</w:t>
            </w:r>
          </w:p>
        </w:tc>
      </w:tr>
    </w:tbl>
    <w:p w14:paraId="6520105F" w14:textId="77777777" w:rsidR="00E56E3B" w:rsidRDefault="00E56E3B">
      <w:pPr>
        <w:spacing w:after="80"/>
      </w:pPr>
    </w:p>
    <w:p w14:paraId="65201060" w14:textId="77777777" w:rsidR="00E56E3B" w:rsidRDefault="009D7C2B">
      <w:pPr>
        <w:pStyle w:val="Heading2"/>
      </w:pPr>
      <w:bookmarkStart w:id="24" w:name="_Toc226561779"/>
      <w:r>
        <w:t>5.2 Scenario S1 — Full Decarbonization (WF-S1)</w:t>
      </w:r>
      <w:bookmarkEnd w:id="24"/>
    </w:p>
    <w:p w14:paraId="65201061" w14:textId="77777777" w:rsidR="00E56E3B" w:rsidRDefault="009D7C2B">
      <w:pPr>
        <w:spacing w:after="120"/>
      </w:pPr>
      <w:r>
        <w:rPr>
          <w:rFonts w:ascii="Arial" w:eastAsia="Arial" w:hAnsi="Arial" w:cs="Arial"/>
          <w:sz w:val="22"/>
          <w:szCs w:val="22"/>
        </w:rPr>
        <w:t>Upper-bound scenario: 100% renewable electricity region-wide by 2050. Given the existing high renewable share in some sub-regions (hydro-rich East Africa) and fossil dependence in others (Nigeria, North Africa), the shock is a full reallocation of fossil-based generation to renewables across the aggregated region.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E56E3B" w14:paraId="65201063"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1A5276"/>
            <w:tcMar>
              <w:top w:w="120" w:type="dxa"/>
              <w:left w:w="140" w:type="dxa"/>
              <w:bottom w:w="120" w:type="dxa"/>
              <w:right w:w="140" w:type="dxa"/>
            </w:tcMar>
          </w:tcPr>
          <w:p w14:paraId="65201062" w14:textId="77777777" w:rsidR="00E56E3B" w:rsidRDefault="009D7C2B">
            <w:r>
              <w:rPr>
                <w:rFonts w:ascii="Arial" w:eastAsia="Arial" w:hAnsi="Arial" w:cs="Arial"/>
                <w:b/>
                <w:bCs/>
                <w:color w:val="FFFFFF"/>
                <w:sz w:val="24"/>
                <w:szCs w:val="24"/>
              </w:rPr>
              <w:t>WF-S1 — Rest of Africa Full Decarbonization</w:t>
            </w:r>
          </w:p>
        </w:tc>
      </w:tr>
      <w:tr w:rsidR="00E56E3B" w14:paraId="652010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1064" w14:textId="77777777" w:rsidR="00E56E3B" w:rsidRDefault="009D7C2B">
            <w:r>
              <w:rPr>
                <w:rFonts w:ascii="Arial" w:eastAsia="Arial" w:hAnsi="Arial" w:cs="Arial"/>
                <w:b/>
                <w:bCs/>
                <w:color w:val="000000"/>
              </w:rPr>
              <w:t>Parameter</w:t>
            </w:r>
          </w:p>
        </w:tc>
        <w:tc>
          <w:tcPr>
            <w:tcW w:w="34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1065" w14:textId="77777777" w:rsidR="00E56E3B" w:rsidRDefault="009D7C2B">
            <w:r>
              <w:rPr>
                <w:rFonts w:ascii="Arial" w:eastAsia="Arial" w:hAnsi="Arial" w:cs="Arial"/>
                <w:b/>
                <w:bCs/>
                <w:color w:val="000000"/>
              </w:rPr>
              <w:t>2030 Target</w:t>
            </w:r>
          </w:p>
        </w:tc>
        <w:tc>
          <w:tcPr>
            <w:tcW w:w="34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1066" w14:textId="77777777" w:rsidR="00E56E3B" w:rsidRDefault="009D7C2B">
            <w:r>
              <w:rPr>
                <w:rFonts w:ascii="Arial" w:eastAsia="Arial" w:hAnsi="Arial" w:cs="Arial"/>
                <w:b/>
                <w:bCs/>
                <w:color w:val="000000"/>
              </w:rPr>
              <w:t>2050 Target</w:t>
            </w:r>
          </w:p>
        </w:tc>
      </w:tr>
      <w:tr w:rsidR="00E56E3B" w14:paraId="652010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68" w14:textId="77777777" w:rsidR="00E56E3B" w:rsidRDefault="009D7C2B">
            <w:r>
              <w:rPr>
                <w:rFonts w:ascii="Arial" w:eastAsia="Arial" w:hAnsi="Arial" w:cs="Arial"/>
                <w:b/>
                <w:bCs/>
                <w:color w:val="333333"/>
              </w:rPr>
              <w:t>Fossil electricity share</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69" w14:textId="77777777" w:rsidR="00E56E3B" w:rsidRDefault="009D7C2B">
            <w:r>
              <w:rPr>
                <w:rFonts w:ascii="Arial" w:eastAsia="Arial" w:hAnsi="Arial" w:cs="Arial"/>
                <w:color w:val="000000"/>
              </w:rPr>
              <w:t>~45% → 20% by 2030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6A" w14:textId="77777777" w:rsidR="00E56E3B" w:rsidRDefault="009D7C2B">
            <w:r>
              <w:rPr>
                <w:rFonts w:ascii="Arial" w:eastAsia="Arial" w:hAnsi="Arial" w:cs="Arial"/>
                <w:color w:val="000000"/>
              </w:rPr>
              <w:t>0% by 2050</w:t>
            </w:r>
          </w:p>
        </w:tc>
      </w:tr>
      <w:tr w:rsidR="00E56E3B" w14:paraId="652010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6C" w14:textId="77777777" w:rsidR="00E56E3B" w:rsidRDefault="009D7C2B">
            <w:r>
              <w:rPr>
                <w:rFonts w:ascii="Arial" w:eastAsia="Arial" w:hAnsi="Arial" w:cs="Arial"/>
                <w:b/>
                <w:bCs/>
                <w:color w:val="333333"/>
              </w:rPr>
              <w:t>Renewable electricity share</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6D" w14:textId="77777777" w:rsidR="00E56E3B" w:rsidRDefault="009D7C2B">
            <w:r>
              <w:rPr>
                <w:rFonts w:ascii="Arial" w:eastAsia="Arial" w:hAnsi="Arial" w:cs="Arial"/>
                <w:color w:val="000000"/>
              </w:rPr>
              <w:t>55% → 80% by 2030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6E" w14:textId="77777777" w:rsidR="00E56E3B" w:rsidRDefault="009D7C2B">
            <w:r>
              <w:rPr>
                <w:rFonts w:ascii="Arial" w:eastAsia="Arial" w:hAnsi="Arial" w:cs="Arial"/>
                <w:color w:val="000000"/>
              </w:rPr>
              <w:t>100% by 2050</w:t>
            </w:r>
          </w:p>
        </w:tc>
      </w:tr>
      <w:tr w:rsidR="00E56E3B" w14:paraId="652010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70" w14:textId="77777777" w:rsidR="00E56E3B" w:rsidRDefault="009D7C2B">
            <w:r>
              <w:rPr>
                <w:rFonts w:ascii="Arial" w:eastAsia="Arial" w:hAnsi="Arial" w:cs="Arial"/>
                <w:b/>
                <w:bCs/>
                <w:color w:val="333333"/>
              </w:rPr>
              <w:t>Coal coefficient (A-matrix)</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71" w14:textId="77777777" w:rsidR="00E56E3B" w:rsidRDefault="009D7C2B">
            <w:r>
              <w:rPr>
                <w:rFonts w:ascii="Arial" w:eastAsia="Arial" w:hAnsi="Arial" w:cs="Arial"/>
                <w:color w:val="000000"/>
              </w:rPr>
              <w:t>Reduce by 40%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72" w14:textId="77777777" w:rsidR="00E56E3B" w:rsidRDefault="009D7C2B">
            <w:r>
              <w:rPr>
                <w:rFonts w:ascii="Arial" w:eastAsia="Arial" w:hAnsi="Arial" w:cs="Arial"/>
                <w:color w:val="000000"/>
              </w:rPr>
              <w:t>Reduce to 0</w:t>
            </w:r>
          </w:p>
        </w:tc>
      </w:tr>
      <w:tr w:rsidR="00E56E3B" w14:paraId="652010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74" w14:textId="77777777" w:rsidR="00E56E3B" w:rsidRDefault="009D7C2B">
            <w:r>
              <w:rPr>
                <w:rFonts w:ascii="Arial" w:eastAsia="Arial" w:hAnsi="Arial" w:cs="Arial"/>
                <w:b/>
                <w:bCs/>
                <w:color w:val="333333"/>
              </w:rPr>
              <w:t>Gas coefficient (A-matrix)</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75" w14:textId="77777777" w:rsidR="00E56E3B" w:rsidRDefault="009D7C2B">
            <w:r>
              <w:rPr>
                <w:rFonts w:ascii="Arial" w:eastAsia="Arial" w:hAnsi="Arial" w:cs="Arial"/>
                <w:color w:val="000000"/>
              </w:rPr>
              <w:t>Reduce by 35%</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76" w14:textId="77777777" w:rsidR="00E56E3B" w:rsidRDefault="009D7C2B">
            <w:r>
              <w:rPr>
                <w:rFonts w:ascii="Arial" w:eastAsia="Arial" w:hAnsi="Arial" w:cs="Arial"/>
                <w:color w:val="000000"/>
              </w:rPr>
              <w:t>Reduce to 0</w:t>
            </w:r>
          </w:p>
        </w:tc>
      </w:tr>
      <w:tr w:rsidR="00E56E3B" w14:paraId="652010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78" w14:textId="77777777" w:rsidR="00E56E3B" w:rsidRDefault="009D7C2B">
            <w:r>
              <w:rPr>
                <w:rFonts w:ascii="Arial" w:eastAsia="Arial" w:hAnsi="Arial" w:cs="Arial"/>
                <w:b/>
                <w:bCs/>
                <w:color w:val="333333"/>
              </w:rPr>
              <w:t>Oil/diesel generation</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79" w14:textId="77777777" w:rsidR="00E56E3B" w:rsidRDefault="009D7C2B">
            <w:r>
              <w:rPr>
                <w:rFonts w:ascii="Arial" w:eastAsia="Arial" w:hAnsi="Arial" w:cs="Arial"/>
                <w:color w:val="000000"/>
              </w:rPr>
              <w:t>Reduce by 50%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7A" w14:textId="77777777" w:rsidR="00E56E3B" w:rsidRDefault="009D7C2B">
            <w:r>
              <w:rPr>
                <w:rFonts w:ascii="Arial" w:eastAsia="Arial" w:hAnsi="Arial" w:cs="Arial"/>
                <w:color w:val="000000"/>
              </w:rPr>
              <w:t>Reduce to 0</w:t>
            </w:r>
          </w:p>
        </w:tc>
      </w:tr>
      <w:tr w:rsidR="00E56E3B" w14:paraId="652010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7C" w14:textId="77777777" w:rsidR="00E56E3B" w:rsidRDefault="009D7C2B">
            <w:r>
              <w:rPr>
                <w:rFonts w:ascii="Arial" w:eastAsia="Arial" w:hAnsi="Arial" w:cs="Arial"/>
                <w:b/>
                <w:bCs/>
                <w:color w:val="333333"/>
              </w:rPr>
              <w:lastRenderedPageBreak/>
              <w:t>Solar PV + Wind coefficient</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7D" w14:textId="77777777" w:rsidR="00E56E3B" w:rsidRDefault="009D7C2B">
            <w:r>
              <w:rPr>
                <w:rFonts w:ascii="Arial" w:eastAsia="Arial" w:hAnsi="Arial" w:cs="Arial"/>
                <w:color w:val="000000"/>
              </w:rPr>
              <w:t>+0.45 share reallocation</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7E" w14:textId="77777777" w:rsidR="00E56E3B" w:rsidRDefault="009D7C2B">
            <w:r>
              <w:rPr>
                <w:rFonts w:ascii="Arial" w:eastAsia="Arial" w:hAnsi="Arial" w:cs="Arial"/>
                <w:color w:val="000000"/>
              </w:rPr>
              <w:t>+1.0 (absorb all fossil)</w:t>
            </w:r>
          </w:p>
        </w:tc>
      </w:tr>
      <w:tr w:rsidR="00E56E3B" w14:paraId="652010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80" w14:textId="77777777" w:rsidR="00E56E3B" w:rsidRDefault="009D7C2B">
            <w:r>
              <w:rPr>
                <w:rFonts w:ascii="Arial" w:eastAsia="Arial" w:hAnsi="Arial" w:cs="Arial"/>
                <w:b/>
                <w:bCs/>
                <w:color w:val="333333"/>
              </w:rPr>
              <w:t>CO2 emission intensity (elec.)</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81" w14:textId="77777777" w:rsidR="00E56E3B" w:rsidRDefault="009D7C2B">
            <w:r>
              <w:rPr>
                <w:rFonts w:ascii="Arial" w:eastAsia="Arial" w:hAnsi="Arial" w:cs="Arial"/>
                <w:color w:val="000000"/>
              </w:rPr>
              <w:t>Reduce by ~40%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82" w14:textId="77777777" w:rsidR="00E56E3B" w:rsidRDefault="009D7C2B">
            <w:r>
              <w:rPr>
                <w:rFonts w:ascii="Arial" w:eastAsia="Arial" w:hAnsi="Arial" w:cs="Arial"/>
                <w:color w:val="000000"/>
              </w:rPr>
              <w:t>Reduce to 0</w:t>
            </w:r>
          </w:p>
        </w:tc>
      </w:tr>
    </w:tbl>
    <w:p w14:paraId="65201084" w14:textId="77777777" w:rsidR="00E56E3B" w:rsidRDefault="00E56E3B">
      <w:pPr>
        <w:spacing w:after="80"/>
      </w:pPr>
    </w:p>
    <w:p w14:paraId="65201085" w14:textId="77777777" w:rsidR="00E56E3B" w:rsidRDefault="009D7C2B">
      <w:pPr>
        <w:pStyle w:val="Heading2"/>
      </w:pPr>
      <w:bookmarkStart w:id="25" w:name="_Toc226561780"/>
      <w:r>
        <w:t>5.3 Scenario S2 — National Policy Target (WF-S2)</w:t>
      </w:r>
      <w:bookmarkEnd w:id="25"/>
    </w:p>
    <w:p w14:paraId="65201086" w14:textId="77777777" w:rsidR="00E56E3B" w:rsidRDefault="009D7C2B">
      <w:pPr>
        <w:spacing w:after="120"/>
      </w:pPr>
      <w:r>
        <w:rPr>
          <w:rFonts w:ascii="Arial" w:eastAsia="Arial" w:hAnsi="Arial" w:cs="Arial"/>
          <w:sz w:val="22"/>
          <w:szCs w:val="22"/>
        </w:rPr>
        <w:t>Follows the continental policy framework: AREI 300 GW target by 2030 (representing a 5x increase from 2022 levels), while simultaneously expanding energy access under Mission 300. The shock reflects both supply-side renewable capacity addition and demand-side growth from 300 million newly electrified consumers.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E56E3B" w14:paraId="65201088"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1A7A4E"/>
            <w:tcMar>
              <w:top w:w="120" w:type="dxa"/>
              <w:left w:w="140" w:type="dxa"/>
              <w:bottom w:w="120" w:type="dxa"/>
              <w:right w:w="140" w:type="dxa"/>
            </w:tcMar>
          </w:tcPr>
          <w:p w14:paraId="65201087" w14:textId="77777777" w:rsidR="00E56E3B" w:rsidRDefault="009D7C2B">
            <w:r>
              <w:rPr>
                <w:rFonts w:ascii="Arial" w:eastAsia="Arial" w:hAnsi="Arial" w:cs="Arial"/>
                <w:b/>
                <w:bCs/>
                <w:color w:val="FFFFFF"/>
                <w:sz w:val="24"/>
                <w:szCs w:val="24"/>
              </w:rPr>
              <w:t>WF-S2 — Rest of Africa Policy Target</w:t>
            </w:r>
          </w:p>
        </w:tc>
      </w:tr>
      <w:tr w:rsidR="00E56E3B" w14:paraId="652010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1089" w14:textId="77777777" w:rsidR="00E56E3B" w:rsidRDefault="009D7C2B">
            <w:r>
              <w:rPr>
                <w:rFonts w:ascii="Arial" w:eastAsia="Arial" w:hAnsi="Arial" w:cs="Arial"/>
                <w:b/>
                <w:bCs/>
                <w:color w:val="000000"/>
              </w:rPr>
              <w:t>Parameter</w:t>
            </w:r>
          </w:p>
        </w:tc>
        <w:tc>
          <w:tcPr>
            <w:tcW w:w="34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108A" w14:textId="77777777" w:rsidR="00E56E3B" w:rsidRDefault="009D7C2B">
            <w:r>
              <w:rPr>
                <w:rFonts w:ascii="Arial" w:eastAsia="Arial" w:hAnsi="Arial" w:cs="Arial"/>
                <w:b/>
                <w:bCs/>
                <w:color w:val="000000"/>
              </w:rPr>
              <w:t>2030 Target</w:t>
            </w:r>
          </w:p>
        </w:tc>
        <w:tc>
          <w:tcPr>
            <w:tcW w:w="34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108B" w14:textId="77777777" w:rsidR="00E56E3B" w:rsidRDefault="009D7C2B">
            <w:r>
              <w:rPr>
                <w:rFonts w:ascii="Arial" w:eastAsia="Arial" w:hAnsi="Arial" w:cs="Arial"/>
                <w:b/>
                <w:bCs/>
                <w:color w:val="000000"/>
              </w:rPr>
              <w:t>2050 Target</w:t>
            </w:r>
          </w:p>
        </w:tc>
      </w:tr>
      <w:tr w:rsidR="00E56E3B" w14:paraId="652010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8D" w14:textId="77777777" w:rsidR="00E56E3B" w:rsidRDefault="009D7C2B">
            <w:r>
              <w:rPr>
                <w:rFonts w:ascii="Arial" w:eastAsia="Arial" w:hAnsi="Arial" w:cs="Arial"/>
                <w:b/>
                <w:bCs/>
                <w:color w:val="333333"/>
              </w:rPr>
              <w:t>Renewable capacity</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8E" w14:textId="77777777" w:rsidR="00E56E3B" w:rsidRDefault="009D7C2B">
            <w:r>
              <w:rPr>
                <w:rFonts w:ascii="Arial" w:eastAsia="Arial" w:hAnsi="Arial" w:cs="Arial"/>
                <w:color w:val="000000"/>
              </w:rPr>
              <w:t>300 GW by 2030 (AREI/Nairobi)</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8F" w14:textId="77777777" w:rsidR="00E56E3B" w:rsidRDefault="009D7C2B">
            <w:r>
              <w:rPr>
                <w:rFonts w:ascii="Arial" w:eastAsia="Arial" w:hAnsi="Arial" w:cs="Arial"/>
                <w:color w:val="000000"/>
              </w:rPr>
              <w:t>600+ GW by 2050 (estimated)</w:t>
            </w:r>
          </w:p>
        </w:tc>
      </w:tr>
      <w:tr w:rsidR="00E56E3B" w14:paraId="652010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91" w14:textId="77777777" w:rsidR="00E56E3B" w:rsidRDefault="009D7C2B">
            <w:r>
              <w:rPr>
                <w:rFonts w:ascii="Arial" w:eastAsia="Arial" w:hAnsi="Arial" w:cs="Arial"/>
                <w:b/>
                <w:bCs/>
                <w:color w:val="333333"/>
              </w:rPr>
              <w:t>Energy access expansion</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92" w14:textId="77777777" w:rsidR="00E56E3B" w:rsidRDefault="009D7C2B">
            <w:r>
              <w:rPr>
                <w:rFonts w:ascii="Arial" w:eastAsia="Arial" w:hAnsi="Arial" w:cs="Arial"/>
                <w:color w:val="000000"/>
              </w:rPr>
              <w:t>+300M people electrified by 2030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93" w14:textId="77777777" w:rsidR="00E56E3B" w:rsidRDefault="009D7C2B">
            <w:r>
              <w:rPr>
                <w:rFonts w:ascii="Arial" w:eastAsia="Arial" w:hAnsi="Arial" w:cs="Arial"/>
                <w:color w:val="000000"/>
              </w:rPr>
              <w:t>Universal access by 2040</w:t>
            </w:r>
          </w:p>
        </w:tc>
      </w:tr>
      <w:tr w:rsidR="00E56E3B" w14:paraId="652010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95" w14:textId="77777777" w:rsidR="00E56E3B" w:rsidRDefault="009D7C2B">
            <w:r>
              <w:rPr>
                <w:rFonts w:ascii="Arial" w:eastAsia="Arial" w:hAnsi="Arial" w:cs="Arial"/>
                <w:b/>
                <w:bCs/>
                <w:color w:val="333333"/>
              </w:rPr>
              <w:t>Renewable electricity share</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96" w14:textId="77777777" w:rsidR="00E56E3B" w:rsidRDefault="009D7C2B">
            <w:r>
              <w:rPr>
                <w:rFonts w:ascii="Arial" w:eastAsia="Arial" w:hAnsi="Arial" w:cs="Arial"/>
                <w:color w:val="000000"/>
              </w:rPr>
              <w:t>80% of new additions from RE</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97" w14:textId="77777777" w:rsidR="00E56E3B" w:rsidRDefault="009D7C2B">
            <w:r>
              <w:rPr>
                <w:rFonts w:ascii="Arial" w:eastAsia="Arial" w:hAnsi="Arial" w:cs="Arial"/>
                <w:color w:val="000000"/>
              </w:rPr>
              <w:t>85%+ of total generation</w:t>
            </w:r>
          </w:p>
        </w:tc>
      </w:tr>
      <w:tr w:rsidR="00E56E3B" w14:paraId="652010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99" w14:textId="77777777" w:rsidR="00E56E3B" w:rsidRDefault="009D7C2B">
            <w:r>
              <w:rPr>
                <w:rFonts w:ascii="Arial" w:eastAsia="Arial" w:hAnsi="Arial" w:cs="Arial"/>
                <w:b/>
                <w:bCs/>
                <w:color w:val="333333"/>
              </w:rPr>
              <w:t>Fossil share reduction</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9A" w14:textId="77777777" w:rsidR="00E56E3B" w:rsidRDefault="009D7C2B">
            <w:r>
              <w:rPr>
                <w:rFonts w:ascii="Arial" w:eastAsia="Arial" w:hAnsi="Arial" w:cs="Arial"/>
                <w:color w:val="000000"/>
              </w:rPr>
              <w:t>45% → 30% by 2030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9B" w14:textId="77777777" w:rsidR="00E56E3B" w:rsidRDefault="009D7C2B">
            <w:r>
              <w:rPr>
                <w:rFonts w:ascii="Arial" w:eastAsia="Arial" w:hAnsi="Arial" w:cs="Arial"/>
                <w:color w:val="000000"/>
              </w:rPr>
              <w:t>15% by 2050 (gas bridge)</w:t>
            </w:r>
          </w:p>
        </w:tc>
      </w:tr>
      <w:tr w:rsidR="00E56E3B" w14:paraId="652010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9D" w14:textId="77777777" w:rsidR="00E56E3B" w:rsidRDefault="009D7C2B">
            <w:r>
              <w:rPr>
                <w:rFonts w:ascii="Arial" w:eastAsia="Arial" w:hAnsi="Arial" w:cs="Arial"/>
                <w:b/>
                <w:bCs/>
                <w:color w:val="333333"/>
              </w:rPr>
              <w:t>Renewable A-matrix coefficient</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9E" w14:textId="77777777" w:rsidR="00E56E3B" w:rsidRDefault="009D7C2B">
            <w:r>
              <w:rPr>
                <w:rFonts w:ascii="Arial" w:eastAsia="Arial" w:hAnsi="Arial" w:cs="Arial"/>
                <w:color w:val="000000"/>
              </w:rPr>
              <w:t>+435% capacity increase (2022-2030)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9F" w14:textId="77777777" w:rsidR="00E56E3B" w:rsidRDefault="009D7C2B">
            <w:r>
              <w:rPr>
                <w:rFonts w:ascii="Arial" w:eastAsia="Arial" w:hAnsi="Arial" w:cs="Arial"/>
                <w:color w:val="000000"/>
              </w:rPr>
              <w:t>Sustained expansion</w:t>
            </w:r>
          </w:p>
        </w:tc>
      </w:tr>
      <w:tr w:rsidR="00E56E3B" w14:paraId="652010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A1" w14:textId="77777777" w:rsidR="00E56E3B" w:rsidRDefault="009D7C2B">
            <w:r>
              <w:rPr>
                <w:rFonts w:ascii="Arial" w:eastAsia="Arial" w:hAnsi="Arial" w:cs="Arial"/>
                <w:b/>
                <w:bCs/>
                <w:color w:val="333333"/>
              </w:rPr>
              <w:t>Final demand (Y) shock</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A2" w14:textId="77777777" w:rsidR="00E56E3B" w:rsidRDefault="009D7C2B">
            <w:r>
              <w:rPr>
                <w:rFonts w:ascii="Arial" w:eastAsia="Arial" w:hAnsi="Arial" w:cs="Arial"/>
                <w:color w:val="000000"/>
              </w:rPr>
              <w:t>+electricity demand from 300M new consumers</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A3" w14:textId="77777777" w:rsidR="00E56E3B" w:rsidRDefault="009D7C2B">
            <w:r>
              <w:rPr>
                <w:rFonts w:ascii="Arial" w:eastAsia="Arial" w:hAnsi="Arial" w:cs="Arial"/>
                <w:color w:val="000000"/>
              </w:rPr>
              <w:t>Full access demand</w:t>
            </w:r>
          </w:p>
        </w:tc>
      </w:tr>
      <w:tr w:rsidR="00E56E3B" w14:paraId="652010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A5" w14:textId="77777777" w:rsidR="00E56E3B" w:rsidRDefault="009D7C2B">
            <w:r>
              <w:rPr>
                <w:rFonts w:ascii="Arial" w:eastAsia="Arial" w:hAnsi="Arial" w:cs="Arial"/>
                <w:b/>
                <w:bCs/>
                <w:color w:val="333333"/>
              </w:rPr>
              <w:t>Shock kind in MARIO</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A6" w14:textId="77777777" w:rsidR="00E56E3B" w:rsidRDefault="009D7C2B">
            <w:r>
              <w:rPr>
                <w:rFonts w:ascii="Arial" w:eastAsia="Arial" w:hAnsi="Arial" w:cs="Arial"/>
                <w:color w:val="000000"/>
              </w:rPr>
              <w:t>Percentage + demand expansion</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A7" w14:textId="77777777" w:rsidR="00E56E3B" w:rsidRDefault="009D7C2B">
            <w:r>
              <w:rPr>
                <w:rFonts w:ascii="Arial" w:eastAsia="Arial" w:hAnsi="Arial" w:cs="Arial"/>
                <w:color w:val="000000"/>
              </w:rPr>
              <w:t>Combined supply-demand shock</w:t>
            </w:r>
          </w:p>
        </w:tc>
      </w:tr>
    </w:tbl>
    <w:p w14:paraId="652010A9" w14:textId="77777777" w:rsidR="00E56E3B" w:rsidRDefault="00E56E3B">
      <w:pPr>
        <w:spacing w:after="80"/>
      </w:pPr>
    </w:p>
    <w:p w14:paraId="652010AA" w14:textId="77777777" w:rsidR="00E56E3B" w:rsidRDefault="009D7C2B">
      <w:pPr>
        <w:spacing w:after="120"/>
      </w:pPr>
      <w:r>
        <w:rPr>
          <w:rFonts w:ascii="Arial" w:eastAsia="Arial" w:hAnsi="Arial" w:cs="Arial"/>
          <w:sz w:val="22"/>
          <w:szCs w:val="22"/>
        </w:rPr>
        <w:t>Policy sources: Nairobi Declaration on Climate Change, Africa Climate Summit September 2023; AREI (Africa Renewable Energy Initiative) Progress Report 2023; IEA Africa Energy Outlook 2022; World Bank Mission 300 Programme 2024; African Development Bank Energy Access targets 2024.</w:t>
      </w:r>
    </w:p>
    <w:p w14:paraId="652010AB" w14:textId="77777777" w:rsidR="00E56E3B" w:rsidRDefault="009D7C2B">
      <w:r>
        <w:br w:type="page"/>
      </w:r>
    </w:p>
    <w:p w14:paraId="652010AC" w14:textId="77777777" w:rsidR="00E56E3B" w:rsidRDefault="009D7C2B">
      <w:pPr>
        <w:pStyle w:val="Heading1"/>
        <w:pBdr>
          <w:bottom w:val="single" w:sz="8" w:space="4" w:color="2E5FA3"/>
        </w:pBdr>
      </w:pPr>
      <w:bookmarkStart w:id="26" w:name="s6"/>
      <w:bookmarkStart w:id="27" w:name="_Toc226561781"/>
      <w:r>
        <w:lastRenderedPageBreak/>
        <w:t>6. Rest of Middle East (WM Region)</w:t>
      </w:r>
      <w:bookmarkEnd w:id="26"/>
      <w:bookmarkEnd w:id="27"/>
    </w:p>
    <w:p w14:paraId="652010AD" w14:textId="77777777" w:rsidR="00E56E3B" w:rsidRDefault="009D7C2B">
      <w:pPr>
        <w:pStyle w:val="Heading2"/>
      </w:pPr>
      <w:bookmarkStart w:id="28" w:name="_Toc226561782"/>
      <w:r>
        <w:t>6.1 Policy Context</w:t>
      </w:r>
      <w:bookmarkEnd w:id="28"/>
    </w:p>
    <w:p w14:paraId="652010AE" w14:textId="77777777" w:rsidR="00E56E3B" w:rsidRDefault="009D7C2B">
      <w:pPr>
        <w:spacing w:after="120"/>
      </w:pPr>
      <w:r>
        <w:rPr>
          <w:rFonts w:ascii="Arial" w:eastAsia="Arial" w:hAnsi="Arial" w:cs="Arial"/>
          <w:sz w:val="22"/>
          <w:szCs w:val="22"/>
        </w:rPr>
        <w:t>The 'Rest of Middle East' Exiobase region covers the Gulf Cooperation Council (GCC) states, the Levant, and other MENA countries not individually listed in Exiobase (i.e., excluding countries like Iran, Turkey, which have their own Exiobase entries). The region is characterized by near-total dependence on natural gas for electricity generation (70%+ of MENA electricity) and a dual agenda: maintaining hydrocarbon export revenues while transitioning domestic energy systems. Saudi Arabia's Vision 2030, UAE's N</w:t>
      </w:r>
      <w:r>
        <w:rPr>
          <w:rFonts w:ascii="Arial" w:eastAsia="Arial" w:hAnsi="Arial" w:cs="Arial"/>
          <w:sz w:val="22"/>
          <w:szCs w:val="22"/>
        </w:rPr>
        <w:t>et Zero 2050 strategy, and Qatar's National Vision 2030 define the regional ambition level. COP28 (Dubai, 2023) was a milestone event for the region.</w:t>
      </w:r>
    </w:p>
    <w:p w14:paraId="652010AF" w14:textId="77777777" w:rsidR="00E56E3B" w:rsidRDefault="00E56E3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56E3B" w14:paraId="652010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10B0" w14:textId="77777777" w:rsidR="00E56E3B" w:rsidRDefault="009D7C2B">
            <w:r>
              <w:rPr>
                <w:rFonts w:ascii="Arial" w:eastAsia="Arial" w:hAnsi="Arial" w:cs="Arial"/>
                <w:b/>
                <w:bCs/>
                <w:color w:val="000000"/>
              </w:rPr>
              <w:t>Policy Document</w:t>
            </w:r>
          </w:p>
        </w:tc>
        <w:tc>
          <w:tcPr>
            <w:tcW w:w="65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10B1" w14:textId="77777777" w:rsidR="00E56E3B" w:rsidRDefault="009D7C2B">
            <w:r>
              <w:rPr>
                <w:rFonts w:ascii="Arial" w:eastAsia="Arial" w:hAnsi="Arial" w:cs="Arial"/>
                <w:b/>
                <w:bCs/>
                <w:color w:val="000000"/>
              </w:rPr>
              <w:t>Key Targets</w:t>
            </w:r>
          </w:p>
        </w:tc>
      </w:tr>
      <w:tr w:rsidR="00E56E3B" w14:paraId="652010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B3" w14:textId="77777777" w:rsidR="00E56E3B" w:rsidRDefault="009D7C2B">
            <w:r>
              <w:rPr>
                <w:rFonts w:ascii="Arial" w:eastAsia="Arial" w:hAnsi="Arial" w:cs="Arial"/>
                <w:b/>
                <w:bCs/>
                <w:color w:val="000000"/>
              </w:rPr>
              <w:t>Saudi Vision 2030 (Energy)</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B4" w14:textId="77777777" w:rsidR="00E56E3B" w:rsidRDefault="009D7C2B">
            <w:r>
              <w:rPr>
                <w:rFonts w:ascii="Arial" w:eastAsia="Arial" w:hAnsi="Arial" w:cs="Arial"/>
                <w:color w:val="000000"/>
              </w:rPr>
              <w:t>50% renewable electricity by 2030; 130 GW renewable (58.7 GW solar, 40 GW wind)</w:t>
            </w:r>
          </w:p>
        </w:tc>
      </w:tr>
      <w:tr w:rsidR="00E56E3B" w14:paraId="652010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B6" w14:textId="77777777" w:rsidR="00E56E3B" w:rsidRDefault="009D7C2B">
            <w:r>
              <w:rPr>
                <w:rFonts w:ascii="Arial" w:eastAsia="Arial" w:hAnsi="Arial" w:cs="Arial"/>
                <w:b/>
                <w:bCs/>
                <w:color w:val="000000"/>
              </w:rPr>
              <w:t>UAE Net Zero 2050 Strategy</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B7" w14:textId="77777777" w:rsidR="00E56E3B" w:rsidRDefault="009D7C2B">
            <w:r>
              <w:rPr>
                <w:rFonts w:ascii="Arial" w:eastAsia="Arial" w:hAnsi="Arial" w:cs="Arial"/>
                <w:color w:val="000000"/>
              </w:rPr>
              <w:t>32% clean energy by 2030; 0.27 kgCO2/kWh grid intensity; net-zero by 2050</w:t>
            </w:r>
          </w:p>
        </w:tc>
      </w:tr>
      <w:tr w:rsidR="00E56E3B" w14:paraId="652010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B9" w14:textId="77777777" w:rsidR="00E56E3B" w:rsidRDefault="009D7C2B">
            <w:r>
              <w:rPr>
                <w:rFonts w:ascii="Arial" w:eastAsia="Arial" w:hAnsi="Arial" w:cs="Arial"/>
                <w:b/>
                <w:bCs/>
                <w:color w:val="000000"/>
              </w:rPr>
              <w:t>Qatar National Vision 2030</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BA" w14:textId="77777777" w:rsidR="00E56E3B" w:rsidRDefault="009D7C2B">
            <w:r>
              <w:rPr>
                <w:rFonts w:ascii="Arial" w:eastAsia="Arial" w:hAnsi="Arial" w:cs="Arial"/>
                <w:color w:val="000000"/>
              </w:rPr>
              <w:t>18% renewable by 2030 (from 5%); 4 GW renewable capacity; 25% GHG reduction</w:t>
            </w:r>
          </w:p>
        </w:tc>
      </w:tr>
      <w:tr w:rsidR="00E56E3B" w14:paraId="652010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BC" w14:textId="77777777" w:rsidR="00E56E3B" w:rsidRDefault="009D7C2B">
            <w:r>
              <w:rPr>
                <w:rFonts w:ascii="Arial" w:eastAsia="Arial" w:hAnsi="Arial" w:cs="Arial"/>
                <w:b/>
                <w:bCs/>
                <w:color w:val="000000"/>
              </w:rPr>
              <w:t>Oman Vision 2040</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BD" w14:textId="77777777" w:rsidR="00E56E3B" w:rsidRDefault="009D7C2B">
            <w:r>
              <w:rPr>
                <w:rFonts w:ascii="Arial" w:eastAsia="Arial" w:hAnsi="Arial" w:cs="Arial"/>
                <w:color w:val="000000"/>
              </w:rPr>
              <w:t>30% renewable power by 2030; 35-39% by 2040; net-zero 2050</w:t>
            </w:r>
          </w:p>
        </w:tc>
      </w:tr>
      <w:tr w:rsidR="00E56E3B" w14:paraId="652010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BF" w14:textId="77777777" w:rsidR="00E56E3B" w:rsidRDefault="009D7C2B">
            <w:r>
              <w:rPr>
                <w:rFonts w:ascii="Arial" w:eastAsia="Arial" w:hAnsi="Arial" w:cs="Arial"/>
                <w:b/>
                <w:bCs/>
                <w:color w:val="000000"/>
              </w:rPr>
              <w:t>Kuwait</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C0" w14:textId="77777777" w:rsidR="00E56E3B" w:rsidRDefault="009D7C2B">
            <w:r>
              <w:rPr>
                <w:rFonts w:ascii="Arial" w:eastAsia="Arial" w:hAnsi="Arial" w:cs="Arial"/>
                <w:color w:val="000000"/>
              </w:rPr>
              <w:t>30% renewable by 2030; 50% by 2050; net-zero 2060</w:t>
            </w:r>
          </w:p>
        </w:tc>
      </w:tr>
      <w:tr w:rsidR="00E56E3B" w14:paraId="652010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C2" w14:textId="77777777" w:rsidR="00E56E3B" w:rsidRDefault="009D7C2B">
            <w:r>
              <w:rPr>
                <w:rFonts w:ascii="Arial" w:eastAsia="Arial" w:hAnsi="Arial" w:cs="Arial"/>
                <w:b/>
                <w:bCs/>
                <w:color w:val="000000"/>
              </w:rPr>
              <w:t>IRENA MENA Vision 2050</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C3" w14:textId="77777777" w:rsidR="00E56E3B" w:rsidRDefault="009D7C2B">
            <w:r>
              <w:rPr>
                <w:rFonts w:ascii="Arial" w:eastAsia="Arial" w:hAnsi="Arial" w:cs="Arial"/>
                <w:color w:val="000000"/>
              </w:rPr>
              <w:t>200 GW solar PV by 2035 (10x increase); 53% renewables in power sector by 2050</w:t>
            </w:r>
          </w:p>
        </w:tc>
      </w:tr>
      <w:tr w:rsidR="00E56E3B" w14:paraId="652010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C5" w14:textId="77777777" w:rsidR="00E56E3B" w:rsidRDefault="009D7C2B">
            <w:r>
              <w:rPr>
                <w:rFonts w:ascii="Arial" w:eastAsia="Arial" w:hAnsi="Arial" w:cs="Arial"/>
                <w:b/>
                <w:bCs/>
                <w:color w:val="000000"/>
              </w:rPr>
              <w:t>COP28 UAE Consensus (Dec 2023)</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C6" w14:textId="77777777" w:rsidR="00E56E3B" w:rsidRDefault="009D7C2B">
            <w:r>
              <w:rPr>
                <w:rFonts w:ascii="Arial" w:eastAsia="Arial" w:hAnsi="Arial" w:cs="Arial"/>
                <w:color w:val="000000"/>
              </w:rPr>
              <w:t>Transition away from fossil fuels; triple renewables globally by 2030; $700M L&amp;D Fund</w:t>
            </w:r>
          </w:p>
        </w:tc>
      </w:tr>
      <w:tr w:rsidR="00E56E3B" w14:paraId="652010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C8" w14:textId="77777777" w:rsidR="00E56E3B" w:rsidRDefault="009D7C2B">
            <w:r>
              <w:rPr>
                <w:rFonts w:ascii="Arial" w:eastAsia="Arial" w:hAnsi="Arial" w:cs="Arial"/>
                <w:b/>
                <w:bCs/>
                <w:color w:val="000000"/>
              </w:rPr>
              <w:t>Baseline (2023)</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C9" w14:textId="77777777" w:rsidR="00E56E3B" w:rsidRDefault="009D7C2B">
            <w:r>
              <w:rPr>
                <w:rFonts w:ascii="Arial" w:eastAsia="Arial" w:hAnsi="Arial" w:cs="Arial"/>
                <w:color w:val="000000"/>
              </w:rPr>
              <w:t>Gas: ~70% electricity; Oil: ~20%; Renewables: ~6-10%; Total installed ~200 GW (est.)</w:t>
            </w:r>
          </w:p>
        </w:tc>
      </w:tr>
    </w:tbl>
    <w:p w14:paraId="652010CB" w14:textId="77777777" w:rsidR="00E56E3B" w:rsidRDefault="00E56E3B">
      <w:pPr>
        <w:spacing w:after="80"/>
      </w:pPr>
    </w:p>
    <w:p w14:paraId="652010CC" w14:textId="77777777" w:rsidR="00E56E3B" w:rsidRDefault="009D7C2B">
      <w:pPr>
        <w:pStyle w:val="Heading2"/>
      </w:pPr>
      <w:bookmarkStart w:id="29" w:name="_Toc226561783"/>
      <w:r>
        <w:t>6.2 Scenario S1 — Full Decarbonization (WM-S1)</w:t>
      </w:r>
      <w:bookmarkEnd w:id="29"/>
    </w:p>
    <w:p w14:paraId="652010CD" w14:textId="77777777" w:rsidR="00E56E3B" w:rsidRDefault="009D7C2B">
      <w:pPr>
        <w:spacing w:after="120"/>
      </w:pPr>
      <w:r>
        <w:rPr>
          <w:rFonts w:ascii="Arial" w:eastAsia="Arial" w:hAnsi="Arial" w:cs="Arial"/>
          <w:sz w:val="22"/>
          <w:szCs w:val="22"/>
        </w:rPr>
        <w:t>Upper-bound scenario representing a complete phase-out of gas and oil-based electricity, replaced entirely by solar PV and wind. This is the most radical departure from the current energy mix among all five geographies, given the region's near-total fossil dependence in electricity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E56E3B" w14:paraId="652010CF"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1A5276"/>
            <w:tcMar>
              <w:top w:w="120" w:type="dxa"/>
              <w:left w:w="140" w:type="dxa"/>
              <w:bottom w:w="120" w:type="dxa"/>
              <w:right w:w="140" w:type="dxa"/>
            </w:tcMar>
          </w:tcPr>
          <w:p w14:paraId="652010CE" w14:textId="77777777" w:rsidR="00E56E3B" w:rsidRDefault="009D7C2B">
            <w:r>
              <w:rPr>
                <w:rFonts w:ascii="Arial" w:eastAsia="Arial" w:hAnsi="Arial" w:cs="Arial"/>
                <w:b/>
                <w:bCs/>
                <w:color w:val="FFFFFF"/>
                <w:sz w:val="24"/>
                <w:szCs w:val="24"/>
              </w:rPr>
              <w:t>WM-S1 — Rest of Middle East Full Decarbonization</w:t>
            </w:r>
          </w:p>
        </w:tc>
      </w:tr>
      <w:tr w:rsidR="00E56E3B" w14:paraId="652010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10D0" w14:textId="77777777" w:rsidR="00E56E3B" w:rsidRDefault="009D7C2B">
            <w:r>
              <w:rPr>
                <w:rFonts w:ascii="Arial" w:eastAsia="Arial" w:hAnsi="Arial" w:cs="Arial"/>
                <w:b/>
                <w:bCs/>
                <w:color w:val="000000"/>
              </w:rPr>
              <w:t>Parameter</w:t>
            </w:r>
          </w:p>
        </w:tc>
        <w:tc>
          <w:tcPr>
            <w:tcW w:w="34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10D1" w14:textId="77777777" w:rsidR="00E56E3B" w:rsidRDefault="009D7C2B">
            <w:r>
              <w:rPr>
                <w:rFonts w:ascii="Arial" w:eastAsia="Arial" w:hAnsi="Arial" w:cs="Arial"/>
                <w:b/>
                <w:bCs/>
                <w:color w:val="000000"/>
              </w:rPr>
              <w:t>2030 Target</w:t>
            </w:r>
          </w:p>
        </w:tc>
        <w:tc>
          <w:tcPr>
            <w:tcW w:w="34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10D2" w14:textId="77777777" w:rsidR="00E56E3B" w:rsidRDefault="009D7C2B">
            <w:r>
              <w:rPr>
                <w:rFonts w:ascii="Arial" w:eastAsia="Arial" w:hAnsi="Arial" w:cs="Arial"/>
                <w:b/>
                <w:bCs/>
                <w:color w:val="000000"/>
              </w:rPr>
              <w:t>2050 Target</w:t>
            </w:r>
          </w:p>
        </w:tc>
      </w:tr>
      <w:tr w:rsidR="00E56E3B" w14:paraId="652010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D4" w14:textId="77777777" w:rsidR="00E56E3B" w:rsidRDefault="009D7C2B">
            <w:r>
              <w:rPr>
                <w:rFonts w:ascii="Arial" w:eastAsia="Arial" w:hAnsi="Arial" w:cs="Arial"/>
                <w:b/>
                <w:bCs/>
                <w:color w:val="333333"/>
              </w:rPr>
              <w:t>Gas electricity share</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D5" w14:textId="77777777" w:rsidR="00E56E3B" w:rsidRDefault="009D7C2B">
            <w:r>
              <w:rPr>
                <w:rFonts w:ascii="Arial" w:eastAsia="Arial" w:hAnsi="Arial" w:cs="Arial"/>
                <w:color w:val="000000"/>
              </w:rPr>
              <w:t>~70% → 35% by 2030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D6" w14:textId="77777777" w:rsidR="00E56E3B" w:rsidRDefault="009D7C2B">
            <w:r>
              <w:rPr>
                <w:rFonts w:ascii="Arial" w:eastAsia="Arial" w:hAnsi="Arial" w:cs="Arial"/>
                <w:color w:val="000000"/>
              </w:rPr>
              <w:t>0% by 2050</w:t>
            </w:r>
          </w:p>
        </w:tc>
      </w:tr>
      <w:tr w:rsidR="00E56E3B" w14:paraId="652010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D8" w14:textId="77777777" w:rsidR="00E56E3B" w:rsidRDefault="009D7C2B">
            <w:r>
              <w:rPr>
                <w:rFonts w:ascii="Arial" w:eastAsia="Arial" w:hAnsi="Arial" w:cs="Arial"/>
                <w:b/>
                <w:bCs/>
                <w:color w:val="333333"/>
              </w:rPr>
              <w:t>Oil electricity share</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D9" w14:textId="77777777" w:rsidR="00E56E3B" w:rsidRDefault="009D7C2B">
            <w:r>
              <w:rPr>
                <w:rFonts w:ascii="Arial" w:eastAsia="Arial" w:hAnsi="Arial" w:cs="Arial"/>
                <w:color w:val="000000"/>
              </w:rPr>
              <w:t>~20% → 5% by 2030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DA" w14:textId="77777777" w:rsidR="00E56E3B" w:rsidRDefault="009D7C2B">
            <w:r>
              <w:rPr>
                <w:rFonts w:ascii="Arial" w:eastAsia="Arial" w:hAnsi="Arial" w:cs="Arial"/>
                <w:color w:val="000000"/>
              </w:rPr>
              <w:t>0% by 2050</w:t>
            </w:r>
          </w:p>
        </w:tc>
      </w:tr>
      <w:tr w:rsidR="00E56E3B" w14:paraId="652010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DC" w14:textId="77777777" w:rsidR="00E56E3B" w:rsidRDefault="009D7C2B">
            <w:r>
              <w:rPr>
                <w:rFonts w:ascii="Arial" w:eastAsia="Arial" w:hAnsi="Arial" w:cs="Arial"/>
                <w:b/>
                <w:bCs/>
                <w:color w:val="333333"/>
              </w:rPr>
              <w:t>Solar PV coefficient</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DD" w14:textId="77777777" w:rsidR="00E56E3B" w:rsidRDefault="009D7C2B">
            <w:r>
              <w:rPr>
                <w:rFonts w:ascii="Arial" w:eastAsia="Arial" w:hAnsi="Arial" w:cs="Arial"/>
                <w:color w:val="000000"/>
              </w:rPr>
              <w:t>+55% reallocation by 2030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DE" w14:textId="77777777" w:rsidR="00E56E3B" w:rsidRDefault="009D7C2B">
            <w:r>
              <w:rPr>
                <w:rFonts w:ascii="Arial" w:eastAsia="Arial" w:hAnsi="Arial" w:cs="Arial"/>
                <w:color w:val="000000"/>
              </w:rPr>
              <w:t>Absorbs 80% of total mix</w:t>
            </w:r>
          </w:p>
        </w:tc>
      </w:tr>
      <w:tr w:rsidR="00E56E3B" w14:paraId="652010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E0" w14:textId="77777777" w:rsidR="00E56E3B" w:rsidRDefault="009D7C2B">
            <w:r>
              <w:rPr>
                <w:rFonts w:ascii="Arial" w:eastAsia="Arial" w:hAnsi="Arial" w:cs="Arial"/>
                <w:b/>
                <w:bCs/>
                <w:color w:val="333333"/>
              </w:rPr>
              <w:t>Wind coefficient</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E1" w14:textId="77777777" w:rsidR="00E56E3B" w:rsidRDefault="009D7C2B">
            <w:r>
              <w:rPr>
                <w:rFonts w:ascii="Arial" w:eastAsia="Arial" w:hAnsi="Arial" w:cs="Arial"/>
                <w:color w:val="000000"/>
              </w:rPr>
              <w:t>+15% reallocation by 2030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E2" w14:textId="77777777" w:rsidR="00E56E3B" w:rsidRDefault="009D7C2B">
            <w:r>
              <w:rPr>
                <w:rFonts w:ascii="Arial" w:eastAsia="Arial" w:hAnsi="Arial" w:cs="Arial"/>
                <w:color w:val="000000"/>
              </w:rPr>
              <w:t>Absorbs 20% of total mix</w:t>
            </w:r>
          </w:p>
        </w:tc>
      </w:tr>
      <w:tr w:rsidR="00E56E3B" w14:paraId="652010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E4" w14:textId="77777777" w:rsidR="00E56E3B" w:rsidRDefault="009D7C2B">
            <w:r>
              <w:rPr>
                <w:rFonts w:ascii="Arial" w:eastAsia="Arial" w:hAnsi="Arial" w:cs="Arial"/>
                <w:b/>
                <w:bCs/>
                <w:color w:val="333333"/>
              </w:rPr>
              <w:lastRenderedPageBreak/>
              <w:t>Renewable electricity share</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E5" w14:textId="77777777" w:rsidR="00E56E3B" w:rsidRDefault="009D7C2B">
            <w:r>
              <w:rPr>
                <w:rFonts w:ascii="Arial" w:eastAsia="Arial" w:hAnsi="Arial" w:cs="Arial"/>
                <w:color w:val="000000"/>
              </w:rPr>
              <w:t>~10% → 60% by 2030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E6" w14:textId="77777777" w:rsidR="00E56E3B" w:rsidRDefault="009D7C2B">
            <w:r>
              <w:rPr>
                <w:rFonts w:ascii="Arial" w:eastAsia="Arial" w:hAnsi="Arial" w:cs="Arial"/>
                <w:color w:val="000000"/>
              </w:rPr>
              <w:t>100% by 2050</w:t>
            </w:r>
          </w:p>
        </w:tc>
      </w:tr>
      <w:tr w:rsidR="00E56E3B" w14:paraId="652010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E8" w14:textId="77777777" w:rsidR="00E56E3B" w:rsidRDefault="009D7C2B">
            <w:r>
              <w:rPr>
                <w:rFonts w:ascii="Arial" w:eastAsia="Arial" w:hAnsi="Arial" w:cs="Arial"/>
                <w:b/>
                <w:bCs/>
                <w:color w:val="333333"/>
              </w:rPr>
              <w:t>CO2 emission intensity (elec.)</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E9" w14:textId="77777777" w:rsidR="00E56E3B" w:rsidRDefault="009D7C2B">
            <w:r>
              <w:rPr>
                <w:rFonts w:ascii="Arial" w:eastAsia="Arial" w:hAnsi="Arial" w:cs="Arial"/>
                <w:color w:val="000000"/>
              </w:rPr>
              <w:t>Reduce by ~55%</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EA" w14:textId="77777777" w:rsidR="00E56E3B" w:rsidRDefault="009D7C2B">
            <w:r>
              <w:rPr>
                <w:rFonts w:ascii="Arial" w:eastAsia="Arial" w:hAnsi="Arial" w:cs="Arial"/>
                <w:color w:val="000000"/>
              </w:rPr>
              <w:t>Reduce to 0</w:t>
            </w:r>
          </w:p>
        </w:tc>
      </w:tr>
      <w:tr w:rsidR="00E56E3B" w14:paraId="652010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EC" w14:textId="77777777" w:rsidR="00E56E3B" w:rsidRDefault="009D7C2B">
            <w:r>
              <w:rPr>
                <w:rFonts w:ascii="Arial" w:eastAsia="Arial" w:hAnsi="Arial" w:cs="Arial"/>
                <w:b/>
                <w:bCs/>
                <w:color w:val="333333"/>
              </w:rPr>
              <w:t>Shock kind in MARIO</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ED" w14:textId="77777777" w:rsidR="00E56E3B" w:rsidRDefault="009D7C2B">
            <w:r>
              <w:rPr>
                <w:rFonts w:ascii="Arial" w:eastAsia="Arial" w:hAnsi="Arial" w:cs="Arial"/>
                <w:color w:val="000000"/>
              </w:rPr>
              <w:t>Percentage (very large)</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EE" w14:textId="77777777" w:rsidR="00E56E3B" w:rsidRDefault="009D7C2B">
            <w:r>
              <w:rPr>
                <w:rFonts w:ascii="Arial" w:eastAsia="Arial" w:hAnsi="Arial" w:cs="Arial"/>
                <w:color w:val="000000"/>
              </w:rPr>
              <w:t>New Value = 0 (gas/oil)</w:t>
            </w:r>
          </w:p>
        </w:tc>
      </w:tr>
    </w:tbl>
    <w:p w14:paraId="652010F0" w14:textId="77777777" w:rsidR="00E56E3B" w:rsidRDefault="00E56E3B">
      <w:pPr>
        <w:spacing w:after="80"/>
      </w:pPr>
    </w:p>
    <w:p w14:paraId="652010F1" w14:textId="77777777" w:rsidR="00E56E3B" w:rsidRDefault="009D7C2B">
      <w:pPr>
        <w:pStyle w:val="Heading2"/>
      </w:pPr>
      <w:bookmarkStart w:id="30" w:name="_Toc226561784"/>
      <w:r>
        <w:t>6.3 Scenario S2 — National Policy Target (WM-S2)</w:t>
      </w:r>
      <w:bookmarkEnd w:id="30"/>
    </w:p>
    <w:p w14:paraId="652010F2" w14:textId="77777777" w:rsidR="00E56E3B" w:rsidRDefault="009D7C2B">
      <w:pPr>
        <w:spacing w:after="120"/>
      </w:pPr>
      <w:r>
        <w:rPr>
          <w:rFonts w:ascii="Arial" w:eastAsia="Arial" w:hAnsi="Arial" w:cs="Arial"/>
          <w:sz w:val="22"/>
          <w:szCs w:val="22"/>
        </w:rPr>
        <w:t>Follows a weighted average of the GCC states' official policy targets, anchored to Saudi Arabia's 50% renewables by 2030 (as the dominant regional economy), UAE's net-zero 2050, and the regional IRENA trajectory. The scenario includes a significant residual gas role as a transition fuel, consistent with regional plans.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E56E3B" w14:paraId="652010F4"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1A7A4E"/>
            <w:tcMar>
              <w:top w:w="120" w:type="dxa"/>
              <w:left w:w="140" w:type="dxa"/>
              <w:bottom w:w="120" w:type="dxa"/>
              <w:right w:w="140" w:type="dxa"/>
            </w:tcMar>
          </w:tcPr>
          <w:p w14:paraId="652010F3" w14:textId="77777777" w:rsidR="00E56E3B" w:rsidRDefault="009D7C2B">
            <w:r>
              <w:rPr>
                <w:rFonts w:ascii="Arial" w:eastAsia="Arial" w:hAnsi="Arial" w:cs="Arial"/>
                <w:b/>
                <w:bCs/>
                <w:color w:val="FFFFFF"/>
                <w:sz w:val="24"/>
                <w:szCs w:val="24"/>
              </w:rPr>
              <w:t>WM-S2 — Rest of Middle East Policy Target</w:t>
            </w:r>
          </w:p>
        </w:tc>
      </w:tr>
      <w:tr w:rsidR="00E56E3B" w14:paraId="652010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10F5" w14:textId="77777777" w:rsidR="00E56E3B" w:rsidRDefault="009D7C2B">
            <w:r>
              <w:rPr>
                <w:rFonts w:ascii="Arial" w:eastAsia="Arial" w:hAnsi="Arial" w:cs="Arial"/>
                <w:b/>
                <w:bCs/>
                <w:color w:val="000000"/>
              </w:rPr>
              <w:t>Parameter</w:t>
            </w:r>
          </w:p>
        </w:tc>
        <w:tc>
          <w:tcPr>
            <w:tcW w:w="34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10F6" w14:textId="77777777" w:rsidR="00E56E3B" w:rsidRDefault="009D7C2B">
            <w:r>
              <w:rPr>
                <w:rFonts w:ascii="Arial" w:eastAsia="Arial" w:hAnsi="Arial" w:cs="Arial"/>
                <w:b/>
                <w:bCs/>
                <w:color w:val="000000"/>
              </w:rPr>
              <w:t>2030 Target</w:t>
            </w:r>
          </w:p>
        </w:tc>
        <w:tc>
          <w:tcPr>
            <w:tcW w:w="34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40" w:type="dxa"/>
              <w:bottom w:w="100" w:type="dxa"/>
              <w:right w:w="140" w:type="dxa"/>
            </w:tcMar>
          </w:tcPr>
          <w:p w14:paraId="652010F7" w14:textId="77777777" w:rsidR="00E56E3B" w:rsidRDefault="009D7C2B">
            <w:r>
              <w:rPr>
                <w:rFonts w:ascii="Arial" w:eastAsia="Arial" w:hAnsi="Arial" w:cs="Arial"/>
                <w:b/>
                <w:bCs/>
                <w:color w:val="000000"/>
              </w:rPr>
              <w:t>2050 Target</w:t>
            </w:r>
          </w:p>
        </w:tc>
      </w:tr>
      <w:tr w:rsidR="00E56E3B" w14:paraId="652010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F9" w14:textId="77777777" w:rsidR="00E56E3B" w:rsidRDefault="009D7C2B">
            <w:r>
              <w:rPr>
                <w:rFonts w:ascii="Arial" w:eastAsia="Arial" w:hAnsi="Arial" w:cs="Arial"/>
                <w:b/>
                <w:bCs/>
                <w:color w:val="333333"/>
              </w:rPr>
              <w:t>Renewable electricity share</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FA" w14:textId="77777777" w:rsidR="00E56E3B" w:rsidRDefault="009D7C2B">
            <w:r>
              <w:rPr>
                <w:rFonts w:ascii="Arial" w:eastAsia="Arial" w:hAnsi="Arial" w:cs="Arial"/>
                <w:color w:val="000000"/>
              </w:rPr>
              <w:t>~35% by 2030 (weighted avg)</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FB" w14:textId="77777777" w:rsidR="00E56E3B" w:rsidRDefault="009D7C2B">
            <w:r>
              <w:rPr>
                <w:rFonts w:ascii="Arial" w:eastAsia="Arial" w:hAnsi="Arial" w:cs="Arial"/>
                <w:color w:val="000000"/>
              </w:rPr>
              <w:t>53% by 2050 (IRENA MENA)</w:t>
            </w:r>
          </w:p>
        </w:tc>
      </w:tr>
      <w:tr w:rsidR="00E56E3B" w14:paraId="652011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FD" w14:textId="77777777" w:rsidR="00E56E3B" w:rsidRDefault="009D7C2B">
            <w:r>
              <w:rPr>
                <w:rFonts w:ascii="Arial" w:eastAsia="Arial" w:hAnsi="Arial" w:cs="Arial"/>
                <w:b/>
                <w:bCs/>
                <w:color w:val="333333"/>
              </w:rPr>
              <w:t>Solar PV capacity</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FE" w14:textId="77777777" w:rsidR="00E56E3B" w:rsidRDefault="009D7C2B">
            <w:r>
              <w:rPr>
                <w:rFonts w:ascii="Arial" w:eastAsia="Arial" w:hAnsi="Arial" w:cs="Arial"/>
                <w:color w:val="000000"/>
              </w:rPr>
              <w:t>+130 GW total (Saudi: 58.7 GW solar)</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0FF" w14:textId="77777777" w:rsidR="00E56E3B" w:rsidRDefault="009D7C2B">
            <w:r>
              <w:rPr>
                <w:rFonts w:ascii="Arial" w:eastAsia="Arial" w:hAnsi="Arial" w:cs="Arial"/>
                <w:color w:val="000000"/>
              </w:rPr>
              <w:t>200 GW+ by 2035 (IRENA)</w:t>
            </w:r>
          </w:p>
        </w:tc>
      </w:tr>
      <w:tr w:rsidR="00E56E3B" w14:paraId="652011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01" w14:textId="77777777" w:rsidR="00E56E3B" w:rsidRDefault="009D7C2B">
            <w:r>
              <w:rPr>
                <w:rFonts w:ascii="Arial" w:eastAsia="Arial" w:hAnsi="Arial" w:cs="Arial"/>
                <w:b/>
                <w:bCs/>
                <w:color w:val="333333"/>
              </w:rPr>
              <w:t>Gas electricity share</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02" w14:textId="77777777" w:rsidR="00E56E3B" w:rsidRDefault="009D7C2B">
            <w:r>
              <w:rPr>
                <w:rFonts w:ascii="Arial" w:eastAsia="Arial" w:hAnsi="Arial" w:cs="Arial"/>
                <w:color w:val="000000"/>
              </w:rPr>
              <w:t>~70% → ~55% by 2030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03" w14:textId="77777777" w:rsidR="00E56E3B" w:rsidRDefault="009D7C2B">
            <w:r>
              <w:rPr>
                <w:rFonts w:ascii="Arial" w:eastAsia="Arial" w:hAnsi="Arial" w:cs="Arial"/>
                <w:color w:val="000000"/>
              </w:rPr>
              <w:t>~35% by 2050 (transition fuel)</w:t>
            </w:r>
          </w:p>
        </w:tc>
      </w:tr>
      <w:tr w:rsidR="00E56E3B" w14:paraId="652011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05" w14:textId="77777777" w:rsidR="00E56E3B" w:rsidRDefault="009D7C2B">
            <w:r>
              <w:rPr>
                <w:rFonts w:ascii="Arial" w:eastAsia="Arial" w:hAnsi="Arial" w:cs="Arial"/>
                <w:b/>
                <w:bCs/>
                <w:color w:val="333333"/>
              </w:rPr>
              <w:t>Net-zero commitments</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06" w14:textId="77777777" w:rsidR="00E56E3B" w:rsidRDefault="009D7C2B">
            <w:r>
              <w:rPr>
                <w:rFonts w:ascii="Arial" w:eastAsia="Arial" w:hAnsi="Arial" w:cs="Arial"/>
                <w:color w:val="000000"/>
              </w:rPr>
              <w:t>UAE/Oman: 2050; SA/Kuwait: 2060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07" w14:textId="77777777" w:rsidR="00E56E3B" w:rsidRDefault="009D7C2B">
            <w:r>
              <w:rPr>
                <w:rFonts w:ascii="Arial" w:eastAsia="Arial" w:hAnsi="Arial" w:cs="Arial"/>
                <w:color w:val="000000"/>
              </w:rPr>
              <w:t>Region net-zero ~2055 avg</w:t>
            </w:r>
          </w:p>
        </w:tc>
      </w:tr>
      <w:tr w:rsidR="00E56E3B" w14:paraId="652011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09" w14:textId="77777777" w:rsidR="00E56E3B" w:rsidRDefault="009D7C2B">
            <w:r>
              <w:rPr>
                <w:rFonts w:ascii="Arial" w:eastAsia="Arial" w:hAnsi="Arial" w:cs="Arial"/>
                <w:b/>
                <w:bCs/>
                <w:color w:val="333333"/>
              </w:rPr>
              <w:t>Grid carbon intensity</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0A" w14:textId="77777777" w:rsidR="00E56E3B" w:rsidRDefault="009D7C2B">
            <w:r>
              <w:rPr>
                <w:rFonts w:ascii="Arial" w:eastAsia="Arial" w:hAnsi="Arial" w:cs="Arial"/>
                <w:color w:val="000000"/>
              </w:rPr>
              <w:t>0.27 kgCO2/kWh (UAE 2030)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0B" w14:textId="77777777" w:rsidR="00E56E3B" w:rsidRDefault="009D7C2B">
            <w:r>
              <w:rPr>
                <w:rFonts w:ascii="Arial" w:eastAsia="Arial" w:hAnsi="Arial" w:cs="Arial"/>
                <w:color w:val="000000"/>
              </w:rPr>
              <w:t>Near-zero by 2050</w:t>
            </w:r>
          </w:p>
        </w:tc>
      </w:tr>
      <w:tr w:rsidR="00E56E3B" w14:paraId="652011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0D" w14:textId="77777777" w:rsidR="00E56E3B" w:rsidRDefault="009D7C2B">
            <w:r>
              <w:rPr>
                <w:rFonts w:ascii="Arial" w:eastAsia="Arial" w:hAnsi="Arial" w:cs="Arial"/>
                <w:b/>
                <w:bCs/>
                <w:color w:val="333333"/>
              </w:rPr>
              <w:t>Gas A-matrix coefficient</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0E" w14:textId="77777777" w:rsidR="00E56E3B" w:rsidRDefault="009D7C2B">
            <w:r>
              <w:rPr>
                <w:rFonts w:ascii="Arial" w:eastAsia="Arial" w:hAnsi="Arial" w:cs="Arial"/>
                <w:color w:val="000000"/>
              </w:rPr>
              <w:t>Reduce by ~20%</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0F" w14:textId="77777777" w:rsidR="00E56E3B" w:rsidRDefault="009D7C2B">
            <w:r>
              <w:rPr>
                <w:rFonts w:ascii="Arial" w:eastAsia="Arial" w:hAnsi="Arial" w:cs="Arial"/>
                <w:color w:val="000000"/>
              </w:rPr>
              <w:t>Reduce by ~55%</w:t>
            </w:r>
          </w:p>
        </w:tc>
      </w:tr>
      <w:tr w:rsidR="00E56E3B" w14:paraId="652011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11" w14:textId="77777777" w:rsidR="00E56E3B" w:rsidRDefault="009D7C2B">
            <w:r>
              <w:rPr>
                <w:rFonts w:ascii="Arial" w:eastAsia="Arial" w:hAnsi="Arial" w:cs="Arial"/>
                <w:b/>
                <w:bCs/>
                <w:color w:val="333333"/>
              </w:rPr>
              <w:t>Solar coefficient</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12" w14:textId="77777777" w:rsidR="00E56E3B" w:rsidRDefault="009D7C2B">
            <w:r>
              <w:rPr>
                <w:rFonts w:ascii="Arial" w:eastAsia="Arial" w:hAnsi="Arial" w:cs="Arial"/>
                <w:color w:val="000000"/>
              </w:rPr>
              <w:t>Increase by +30% (A-matrix)</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13" w14:textId="77777777" w:rsidR="00E56E3B" w:rsidRDefault="009D7C2B">
            <w:r>
              <w:rPr>
                <w:rFonts w:ascii="Arial" w:eastAsia="Arial" w:hAnsi="Arial" w:cs="Arial"/>
                <w:color w:val="000000"/>
              </w:rPr>
              <w:t>Increase to 40-50% share</w:t>
            </w:r>
          </w:p>
        </w:tc>
      </w:tr>
      <w:tr w:rsidR="00E56E3B" w14:paraId="652011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15" w14:textId="77777777" w:rsidR="00E56E3B" w:rsidRDefault="009D7C2B">
            <w:r>
              <w:rPr>
                <w:rFonts w:ascii="Arial" w:eastAsia="Arial" w:hAnsi="Arial" w:cs="Arial"/>
                <w:b/>
                <w:bCs/>
                <w:color w:val="333333"/>
              </w:rPr>
              <w:t>Shock kind in MARIO</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16" w14:textId="77777777" w:rsidR="00E56E3B" w:rsidRDefault="009D7C2B">
            <w:r>
              <w:rPr>
                <w:rFonts w:ascii="Arial" w:eastAsia="Arial" w:hAnsi="Arial" w:cs="Arial"/>
                <w:color w:val="000000"/>
              </w:rPr>
              <w:t>Percentage (moderate)</w:t>
            </w:r>
          </w:p>
        </w:tc>
        <w:tc>
          <w:tcPr>
            <w:tcW w:w="3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17" w14:textId="77777777" w:rsidR="00E56E3B" w:rsidRDefault="009D7C2B">
            <w:r>
              <w:rPr>
                <w:rFonts w:ascii="Arial" w:eastAsia="Arial" w:hAnsi="Arial" w:cs="Arial"/>
                <w:color w:val="000000"/>
              </w:rPr>
              <w:t>Percentage / New Value mix</w:t>
            </w:r>
          </w:p>
        </w:tc>
      </w:tr>
    </w:tbl>
    <w:p w14:paraId="65201119" w14:textId="77777777" w:rsidR="00E56E3B" w:rsidRDefault="00E56E3B">
      <w:pPr>
        <w:spacing w:after="80"/>
      </w:pPr>
    </w:p>
    <w:p w14:paraId="6520111A" w14:textId="77777777" w:rsidR="00E56E3B" w:rsidRDefault="009D7C2B">
      <w:pPr>
        <w:spacing w:after="120"/>
      </w:pPr>
      <w:r>
        <w:rPr>
          <w:rFonts w:ascii="Arial" w:eastAsia="Arial" w:hAnsi="Arial" w:cs="Arial"/>
          <w:sz w:val="22"/>
          <w:szCs w:val="22"/>
        </w:rPr>
        <w:t>Policy sources: Saudi Arabia Ministry of Energy Vision 2030 renewable targets; UAE Net Zero 2050 National Strategy; Qatar National Vision 2030 Energy &amp; Environment chapter; Oman Authority for Public Services and Regulatory Affairs 2040 plan; Kuwait Ministry of Electricity 2030 targets; IRENA MENA Renewable Energy Outlook 2023; COP28 UAE Consensus December 2023.</w:t>
      </w:r>
    </w:p>
    <w:p w14:paraId="6520111B" w14:textId="77777777" w:rsidR="00E56E3B" w:rsidRDefault="009D7C2B">
      <w:r>
        <w:br w:type="page"/>
      </w:r>
    </w:p>
    <w:p w14:paraId="6520111C" w14:textId="77777777" w:rsidR="00E56E3B" w:rsidRDefault="009D7C2B">
      <w:pPr>
        <w:pStyle w:val="Heading1"/>
        <w:pBdr>
          <w:bottom w:val="single" w:sz="8" w:space="4" w:color="2E5FA3"/>
        </w:pBdr>
      </w:pPr>
      <w:bookmarkStart w:id="31" w:name="s7"/>
      <w:bookmarkStart w:id="32" w:name="_Toc226561785"/>
      <w:r>
        <w:lastRenderedPageBreak/>
        <w:t>7. MARIO Model Implementation Guide</w:t>
      </w:r>
      <w:bookmarkEnd w:id="31"/>
      <w:bookmarkEnd w:id="32"/>
    </w:p>
    <w:p w14:paraId="6520111D" w14:textId="77777777" w:rsidR="00E56E3B" w:rsidRDefault="009D7C2B">
      <w:pPr>
        <w:pStyle w:val="Heading2"/>
      </w:pPr>
      <w:bookmarkStart w:id="33" w:name="_Toc226561786"/>
      <w:r>
        <w:t>7.1 Shock File Structure</w:t>
      </w:r>
      <w:bookmarkEnd w:id="33"/>
    </w:p>
    <w:p w14:paraId="6520111E" w14:textId="77777777" w:rsidR="00E56E3B" w:rsidRDefault="009D7C2B">
      <w:pPr>
        <w:spacing w:after="120"/>
      </w:pPr>
      <w:r>
        <w:rPr>
          <w:rFonts w:ascii="Arial" w:eastAsia="Arial" w:hAnsi="Arial" w:cs="Arial"/>
          <w:sz w:val="22"/>
          <w:szCs w:val="22"/>
        </w:rPr>
        <w:t>Each scenario is implemented in MARIO through a shock Excel file (.xlsx) structured with the following sheets. The companion Excel file ('MARIO_Scenario_Shocks.xlsx') provides the ready-to-use template populated with the quantitative parameters derived in this report.</w:t>
      </w:r>
    </w:p>
    <w:p w14:paraId="6520111F" w14:textId="77777777" w:rsidR="00E56E3B" w:rsidRDefault="00E56E3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60"/>
        <w:gridCol w:w="5000"/>
      </w:tblGrid>
      <w:tr w:rsidR="00E56E3B" w14:paraId="652011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1120" w14:textId="77777777" w:rsidR="00E56E3B" w:rsidRDefault="009D7C2B">
            <w:r>
              <w:rPr>
                <w:rFonts w:ascii="Arial" w:eastAsia="Arial" w:hAnsi="Arial" w:cs="Arial"/>
                <w:b/>
                <w:bCs/>
                <w:color w:val="000000"/>
              </w:rPr>
              <w:t>Sheet Name</w:t>
            </w:r>
          </w:p>
        </w:tc>
        <w:tc>
          <w:tcPr>
            <w:tcW w:w="23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1121" w14:textId="77777777" w:rsidR="00E56E3B" w:rsidRDefault="009D7C2B">
            <w:r>
              <w:rPr>
                <w:rFonts w:ascii="Arial" w:eastAsia="Arial" w:hAnsi="Arial" w:cs="Arial"/>
                <w:b/>
                <w:bCs/>
                <w:color w:val="000000"/>
              </w:rPr>
              <w:t>MARIO Parameter</w:t>
            </w:r>
          </w:p>
        </w:tc>
        <w:tc>
          <w:tcPr>
            <w:tcW w:w="50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1122" w14:textId="77777777" w:rsidR="00E56E3B" w:rsidRDefault="009D7C2B">
            <w:r>
              <w:rPr>
                <w:rFonts w:ascii="Arial" w:eastAsia="Arial" w:hAnsi="Arial" w:cs="Arial"/>
                <w:b/>
                <w:bCs/>
                <w:color w:val="000000"/>
              </w:rPr>
              <w:t>Content Description</w:t>
            </w:r>
          </w:p>
        </w:tc>
      </w:tr>
      <w:tr w:rsidR="00E56E3B" w14:paraId="652011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24" w14:textId="77777777" w:rsidR="00E56E3B" w:rsidRDefault="009D7C2B">
            <w:r>
              <w:rPr>
                <w:rFonts w:ascii="Arial" w:eastAsia="Arial" w:hAnsi="Arial" w:cs="Arial"/>
                <w:color w:val="000000"/>
              </w:rPr>
              <w:t>Z_shocks / A_shocks</w:t>
            </w:r>
          </w:p>
        </w:tc>
        <w:tc>
          <w:tcPr>
            <w:tcW w:w="2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25" w14:textId="77777777" w:rsidR="00E56E3B" w:rsidRDefault="009D7C2B">
            <w:r>
              <w:rPr>
                <w:rFonts w:ascii="Arial" w:eastAsia="Arial" w:hAnsi="Arial" w:cs="Arial"/>
                <w:color w:val="000000"/>
              </w:rPr>
              <w:t>Z matrix (flows) or A matrix (coefficients)</w:t>
            </w:r>
          </w:p>
        </w:tc>
        <w:tc>
          <w:tcPr>
            <w:tcW w:w="5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26" w14:textId="77777777" w:rsidR="00E56E3B" w:rsidRDefault="009D7C2B">
            <w:r>
              <w:rPr>
                <w:rFonts w:ascii="Arial" w:eastAsia="Arial" w:hAnsi="Arial" w:cs="Arial"/>
                <w:color w:val="000000"/>
              </w:rPr>
              <w:t>Inter-industry coefficient changes: fossil electricity rows decrease, renewable rows increase for the target region</w:t>
            </w:r>
          </w:p>
        </w:tc>
      </w:tr>
      <w:tr w:rsidR="00E56E3B" w14:paraId="652011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28" w14:textId="77777777" w:rsidR="00E56E3B" w:rsidRDefault="009D7C2B">
            <w:r>
              <w:rPr>
                <w:rFonts w:ascii="Arial" w:eastAsia="Arial" w:hAnsi="Arial" w:cs="Arial"/>
                <w:color w:val="000000"/>
              </w:rPr>
              <w:t>E_shocks</w:t>
            </w:r>
          </w:p>
        </w:tc>
        <w:tc>
          <w:tcPr>
            <w:tcW w:w="2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29" w14:textId="77777777" w:rsidR="00E56E3B" w:rsidRDefault="009D7C2B">
            <w:r>
              <w:rPr>
                <w:rFonts w:ascii="Arial" w:eastAsia="Arial" w:hAnsi="Arial" w:cs="Arial"/>
                <w:color w:val="000000"/>
              </w:rPr>
              <w:t>Satellite extension (E) matrix</w:t>
            </w:r>
          </w:p>
        </w:tc>
        <w:tc>
          <w:tcPr>
            <w:tcW w:w="5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2A" w14:textId="77777777" w:rsidR="00E56E3B" w:rsidRDefault="009D7C2B">
            <w:r>
              <w:rPr>
                <w:rFonts w:ascii="Arial" w:eastAsia="Arial" w:hAnsi="Arial" w:cs="Arial"/>
                <w:color w:val="000000"/>
              </w:rPr>
              <w:t>CO2 emission intensity changes per unit of electricity produced (kg CO2 / EUR output)</w:t>
            </w:r>
          </w:p>
        </w:tc>
      </w:tr>
      <w:tr w:rsidR="00E56E3B" w14:paraId="652011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2C" w14:textId="77777777" w:rsidR="00E56E3B" w:rsidRDefault="009D7C2B">
            <w:r>
              <w:rPr>
                <w:rFonts w:ascii="Arial" w:eastAsia="Arial" w:hAnsi="Arial" w:cs="Arial"/>
                <w:color w:val="000000"/>
              </w:rPr>
              <w:t>Y_shocks</w:t>
            </w:r>
          </w:p>
        </w:tc>
        <w:tc>
          <w:tcPr>
            <w:tcW w:w="2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2D" w14:textId="77777777" w:rsidR="00E56E3B" w:rsidRDefault="009D7C2B">
            <w:r>
              <w:rPr>
                <w:rFonts w:ascii="Arial" w:eastAsia="Arial" w:hAnsi="Arial" w:cs="Arial"/>
                <w:color w:val="000000"/>
              </w:rPr>
              <w:t>Final demand (Y) vector</w:t>
            </w:r>
          </w:p>
        </w:tc>
        <w:tc>
          <w:tcPr>
            <w:tcW w:w="5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2E" w14:textId="77777777" w:rsidR="00E56E3B" w:rsidRDefault="009D7C2B">
            <w:r>
              <w:rPr>
                <w:rFonts w:ascii="Arial" w:eastAsia="Arial" w:hAnsi="Arial" w:cs="Arial"/>
                <w:color w:val="000000"/>
              </w:rPr>
              <w:t>Demand-side shocks: capital investment in renewables, energy access expansion (WF region)</w:t>
            </w:r>
          </w:p>
        </w:tc>
      </w:tr>
      <w:tr w:rsidR="00E56E3B" w14:paraId="652011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30" w14:textId="77777777" w:rsidR="00E56E3B" w:rsidRDefault="009D7C2B">
            <w:r>
              <w:rPr>
                <w:rFonts w:ascii="Arial" w:eastAsia="Arial" w:hAnsi="Arial" w:cs="Arial"/>
                <w:color w:val="000000"/>
              </w:rPr>
              <w:t>Metadata</w:t>
            </w:r>
          </w:p>
        </w:tc>
        <w:tc>
          <w:tcPr>
            <w:tcW w:w="2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31" w14:textId="77777777" w:rsidR="00E56E3B" w:rsidRDefault="009D7C2B">
            <w:r>
              <w:rPr>
                <w:rFonts w:ascii="Arial" w:eastAsia="Arial" w:hAnsi="Arial" w:cs="Arial"/>
                <w:color w:val="000000"/>
              </w:rPr>
              <w:t>N/A</w:t>
            </w:r>
          </w:p>
        </w:tc>
        <w:tc>
          <w:tcPr>
            <w:tcW w:w="5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32" w14:textId="77777777" w:rsidR="00E56E3B" w:rsidRDefault="009D7C2B">
            <w:r>
              <w:rPr>
                <w:rFonts w:ascii="Arial" w:eastAsia="Arial" w:hAnsi="Arial" w:cs="Arial"/>
                <w:color w:val="000000"/>
              </w:rPr>
              <w:t>Scenario ID, geography, year, shock type, source citation, and model notes</w:t>
            </w:r>
          </w:p>
        </w:tc>
      </w:tr>
    </w:tbl>
    <w:p w14:paraId="65201134" w14:textId="77777777" w:rsidR="00E56E3B" w:rsidRDefault="00E56E3B">
      <w:pPr>
        <w:spacing w:after="80"/>
      </w:pPr>
    </w:p>
    <w:p w14:paraId="65201135" w14:textId="77777777" w:rsidR="00E56E3B" w:rsidRDefault="009D7C2B">
      <w:pPr>
        <w:pStyle w:val="Heading2"/>
      </w:pPr>
      <w:bookmarkStart w:id="34" w:name="_Toc226561787"/>
      <w:r>
        <w:t>7.2 Shock Parameter Conventions</w:t>
      </w:r>
      <w:bookmarkEnd w:id="34"/>
    </w:p>
    <w:p w14:paraId="65201136" w14:textId="77777777" w:rsidR="00E56E3B" w:rsidRDefault="009D7C2B">
      <w:pPr>
        <w:spacing w:after="120"/>
      </w:pPr>
      <w:r>
        <w:rPr>
          <w:rFonts w:ascii="Arial" w:eastAsia="Arial" w:hAnsi="Arial" w:cs="Arial"/>
          <w:sz w:val="22"/>
          <w:szCs w:val="22"/>
        </w:rPr>
        <w:t>The following conventions apply to all shock files in this framework:</w:t>
      </w:r>
    </w:p>
    <w:p w14:paraId="65201137" w14:textId="77777777" w:rsidR="00E56E3B" w:rsidRDefault="009D7C2B">
      <w:pPr>
        <w:pStyle w:val="ListParagraph"/>
        <w:numPr>
          <w:ilvl w:val="0"/>
          <w:numId w:val="2"/>
        </w:numPr>
        <w:spacing w:after="80"/>
      </w:pPr>
      <w:r>
        <w:rPr>
          <w:rFonts w:ascii="Arial" w:eastAsia="Arial" w:hAnsi="Arial" w:cs="Arial"/>
          <w:sz w:val="22"/>
          <w:szCs w:val="22"/>
        </w:rPr>
        <w:t>Shock magnitude is expressed as a multiplier (1.0 = no change; 0.0 = complete elimination; 2.0 = doubling).</w:t>
      </w:r>
    </w:p>
    <w:p w14:paraId="65201138" w14:textId="77777777" w:rsidR="00E56E3B" w:rsidRDefault="009D7C2B">
      <w:pPr>
        <w:pStyle w:val="ListParagraph"/>
        <w:numPr>
          <w:ilvl w:val="0"/>
          <w:numId w:val="2"/>
        </w:numPr>
        <w:spacing w:after="80"/>
      </w:pPr>
      <w:r>
        <w:rPr>
          <w:rFonts w:ascii="Arial" w:eastAsia="Arial" w:hAnsi="Arial" w:cs="Arial"/>
          <w:sz w:val="22"/>
          <w:szCs w:val="22"/>
        </w:rPr>
        <w:t>Percentage shocks are expressed as decimal changes (e.g., -0.15 means a 15% reduction).</w:t>
      </w:r>
    </w:p>
    <w:p w14:paraId="65201139" w14:textId="77777777" w:rsidR="00E56E3B" w:rsidRDefault="009D7C2B">
      <w:pPr>
        <w:pStyle w:val="ListParagraph"/>
        <w:numPr>
          <w:ilvl w:val="0"/>
          <w:numId w:val="2"/>
        </w:numPr>
        <w:spacing w:after="80"/>
      </w:pPr>
      <w:r>
        <w:rPr>
          <w:rFonts w:ascii="Arial" w:eastAsia="Arial" w:hAnsi="Arial" w:cs="Arial"/>
          <w:sz w:val="22"/>
          <w:szCs w:val="22"/>
        </w:rPr>
        <w:t>New Value shocks replace the existing coefficient entirely (used for complete phase-outs).</w:t>
      </w:r>
    </w:p>
    <w:p w14:paraId="6520113A" w14:textId="77777777" w:rsidR="00E56E3B" w:rsidRDefault="009D7C2B">
      <w:pPr>
        <w:pStyle w:val="ListParagraph"/>
        <w:numPr>
          <w:ilvl w:val="0"/>
          <w:numId w:val="2"/>
        </w:numPr>
        <w:spacing w:after="80"/>
      </w:pPr>
      <w:r>
        <w:rPr>
          <w:rFonts w:ascii="Arial" w:eastAsia="Arial" w:hAnsi="Arial" w:cs="Arial"/>
          <w:sz w:val="22"/>
          <w:szCs w:val="22"/>
        </w:rPr>
        <w:t>All shocks are applied to Exiobase 2021 as the base year. Model runs should iterate for 2025, 2030, 2035, 2040, 2045, and 2050 time steps.</w:t>
      </w:r>
    </w:p>
    <w:p w14:paraId="6520113B" w14:textId="77777777" w:rsidR="00E56E3B" w:rsidRDefault="009D7C2B">
      <w:pPr>
        <w:pStyle w:val="ListParagraph"/>
        <w:numPr>
          <w:ilvl w:val="0"/>
          <w:numId w:val="2"/>
        </w:numPr>
        <w:spacing w:after="80"/>
      </w:pPr>
      <w:r>
        <w:rPr>
          <w:rFonts w:ascii="Arial" w:eastAsia="Arial" w:hAnsi="Arial" w:cs="Arial"/>
          <w:sz w:val="22"/>
          <w:szCs w:val="22"/>
        </w:rPr>
        <w:t>Fossil electricity sectors being phased out: 'Electricity by coal', 'Electricity by gas', 'Electricity by oil'.</w:t>
      </w:r>
    </w:p>
    <w:p w14:paraId="6520113C" w14:textId="77777777" w:rsidR="00E56E3B" w:rsidRDefault="009D7C2B">
      <w:pPr>
        <w:pStyle w:val="ListParagraph"/>
        <w:numPr>
          <w:ilvl w:val="0"/>
          <w:numId w:val="2"/>
        </w:numPr>
        <w:spacing w:after="80"/>
      </w:pPr>
      <w:r>
        <w:rPr>
          <w:rFonts w:ascii="Arial" w:eastAsia="Arial" w:hAnsi="Arial" w:cs="Arial"/>
          <w:sz w:val="22"/>
          <w:szCs w:val="22"/>
        </w:rPr>
        <w:t>Renewable electricity sectors receiving reallocated shares: 'Electricity by wind', 'Electricity by solar photovoltaic', 'Electricity by hydro', 'Electricity by biomass'.</w:t>
      </w:r>
    </w:p>
    <w:p w14:paraId="6520113D" w14:textId="77777777" w:rsidR="00E56E3B" w:rsidRDefault="009D7C2B">
      <w:pPr>
        <w:pStyle w:val="ListParagraph"/>
        <w:numPr>
          <w:ilvl w:val="0"/>
          <w:numId w:val="2"/>
        </w:numPr>
        <w:spacing w:after="80"/>
      </w:pPr>
      <w:r>
        <w:rPr>
          <w:rFonts w:ascii="Arial" w:eastAsia="Arial" w:hAnsi="Arial" w:cs="Arial"/>
          <w:sz w:val="22"/>
          <w:szCs w:val="22"/>
        </w:rPr>
        <w:t>CO2 satellite extension row labels in Exiobase: CO2 - combustion - air (direct emissions); CO2 - non-combustion - Cement production - air; CO2 - waste - biogenic - air.</w:t>
      </w:r>
    </w:p>
    <w:p w14:paraId="6520113E" w14:textId="77777777" w:rsidR="00E56E3B" w:rsidRDefault="00E56E3B">
      <w:pPr>
        <w:spacing w:after="80"/>
      </w:pPr>
    </w:p>
    <w:p w14:paraId="6520113F" w14:textId="77777777" w:rsidR="00E56E3B" w:rsidRDefault="009D7C2B">
      <w:pPr>
        <w:pStyle w:val="Heading2"/>
      </w:pPr>
      <w:bookmarkStart w:id="35" w:name="_Toc226561788"/>
      <w:r>
        <w:t>7.3 Calibration Approach</w:t>
      </w:r>
      <w:bookmarkEnd w:id="35"/>
    </w:p>
    <w:p w14:paraId="65201140" w14:textId="77777777" w:rsidR="00E56E3B" w:rsidRDefault="009D7C2B">
      <w:pPr>
        <w:spacing w:after="120"/>
      </w:pPr>
      <w:r>
        <w:rPr>
          <w:rFonts w:ascii="Arial" w:eastAsia="Arial" w:hAnsi="Arial" w:cs="Arial"/>
          <w:sz w:val="22"/>
          <w:szCs w:val="22"/>
        </w:rPr>
        <w:t>Before running the full scenario, the following calibration steps are recommended: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2400"/>
        <w:gridCol w:w="6180"/>
      </w:tblGrid>
      <w:tr w:rsidR="00E56E3B" w14:paraId="6520114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1141" w14:textId="77777777" w:rsidR="00E56E3B" w:rsidRDefault="009D7C2B">
            <w:r>
              <w:rPr>
                <w:rFonts w:ascii="Arial" w:eastAsia="Arial" w:hAnsi="Arial" w:cs="Arial"/>
                <w:b/>
                <w:bCs/>
                <w:color w:val="000000"/>
              </w:rPr>
              <w:t>Step</w:t>
            </w:r>
          </w:p>
        </w:tc>
        <w:tc>
          <w:tcPr>
            <w:tcW w:w="24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1142" w14:textId="77777777" w:rsidR="00E56E3B" w:rsidRDefault="009D7C2B">
            <w:r>
              <w:rPr>
                <w:rFonts w:ascii="Arial" w:eastAsia="Arial" w:hAnsi="Arial" w:cs="Arial"/>
                <w:b/>
                <w:bCs/>
                <w:color w:val="000000"/>
              </w:rPr>
              <w:t>Action</w:t>
            </w:r>
          </w:p>
        </w:tc>
        <w:tc>
          <w:tcPr>
            <w:tcW w:w="618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1143" w14:textId="77777777" w:rsidR="00E56E3B" w:rsidRDefault="009D7C2B">
            <w:r>
              <w:rPr>
                <w:rFonts w:ascii="Arial" w:eastAsia="Arial" w:hAnsi="Arial" w:cs="Arial"/>
                <w:b/>
                <w:bCs/>
                <w:color w:val="000000"/>
              </w:rPr>
              <w:t>Notes</w:t>
            </w:r>
          </w:p>
        </w:tc>
      </w:tr>
      <w:tr w:rsidR="00E56E3B" w14:paraId="65201148"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45" w14:textId="77777777" w:rsidR="00E56E3B" w:rsidRDefault="009D7C2B">
            <w:r>
              <w:rPr>
                <w:rFonts w:ascii="Arial" w:eastAsia="Arial" w:hAnsi="Arial" w:cs="Arial"/>
                <w:color w:val="000000"/>
              </w:rPr>
              <w:t>1</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46" w14:textId="77777777" w:rsidR="00E56E3B" w:rsidRDefault="009D7C2B">
            <w:r>
              <w:rPr>
                <w:rFonts w:ascii="Arial" w:eastAsia="Arial" w:hAnsi="Arial" w:cs="Arial"/>
                <w:color w:val="000000"/>
              </w:rPr>
              <w:t>Extract baseline energy shares</w:t>
            </w:r>
          </w:p>
        </w:tc>
        <w:tc>
          <w:tcPr>
            <w:tcW w:w="61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47" w14:textId="77777777" w:rsidR="00E56E3B" w:rsidRDefault="009D7C2B">
            <w:r>
              <w:rPr>
                <w:rFonts w:ascii="Arial" w:eastAsia="Arial" w:hAnsi="Arial" w:cs="Arial"/>
                <w:color w:val="000000"/>
              </w:rPr>
              <w:t>Query Exiobase 2021 Z-matrix output shares for each electricity sector in each target region</w:t>
            </w:r>
          </w:p>
        </w:tc>
      </w:tr>
      <w:tr w:rsidR="00E56E3B" w14:paraId="6520114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49" w14:textId="77777777" w:rsidR="00E56E3B" w:rsidRDefault="009D7C2B">
            <w:r>
              <w:rPr>
                <w:rFonts w:ascii="Arial" w:eastAsia="Arial" w:hAnsi="Arial" w:cs="Arial"/>
                <w:color w:val="000000"/>
              </w:rPr>
              <w:t>2</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4A" w14:textId="77777777" w:rsidR="00E56E3B" w:rsidRDefault="009D7C2B">
            <w:r>
              <w:rPr>
                <w:rFonts w:ascii="Arial" w:eastAsia="Arial" w:hAnsi="Arial" w:cs="Arial"/>
                <w:color w:val="000000"/>
              </w:rPr>
              <w:t>Compute fossil share</w:t>
            </w:r>
          </w:p>
        </w:tc>
        <w:tc>
          <w:tcPr>
            <w:tcW w:w="61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4B" w14:textId="77777777" w:rsidR="00E56E3B" w:rsidRDefault="009D7C2B">
            <w:r>
              <w:rPr>
                <w:rFonts w:ascii="Arial" w:eastAsia="Arial" w:hAnsi="Arial" w:cs="Arial"/>
                <w:color w:val="000000"/>
              </w:rPr>
              <w:t>Sum coal+gas+oil electricity as % of total electricity output for each region</w:t>
            </w:r>
          </w:p>
        </w:tc>
      </w:tr>
      <w:tr w:rsidR="00E56E3B" w14:paraId="6520115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4D" w14:textId="77777777" w:rsidR="00E56E3B" w:rsidRDefault="009D7C2B">
            <w:r>
              <w:rPr>
                <w:rFonts w:ascii="Arial" w:eastAsia="Arial" w:hAnsi="Arial" w:cs="Arial"/>
                <w:color w:val="000000"/>
              </w:rPr>
              <w:lastRenderedPageBreak/>
              <w:t>3</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4E" w14:textId="77777777" w:rsidR="00E56E3B" w:rsidRDefault="009D7C2B">
            <w:r>
              <w:rPr>
                <w:rFonts w:ascii="Arial" w:eastAsia="Arial" w:hAnsi="Arial" w:cs="Arial"/>
                <w:color w:val="000000"/>
              </w:rPr>
              <w:t>Derive shock multipliers</w:t>
            </w:r>
          </w:p>
        </w:tc>
        <w:tc>
          <w:tcPr>
            <w:tcW w:w="61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4F" w14:textId="77777777" w:rsidR="00E56E3B" w:rsidRDefault="009D7C2B">
            <w:r>
              <w:rPr>
                <w:rFonts w:ascii="Arial" w:eastAsia="Arial" w:hAnsi="Arial" w:cs="Arial"/>
                <w:color w:val="000000"/>
              </w:rPr>
              <w:t>Shock = (target share / baseline share); if target = 0, use New Value = 0 mode</w:t>
            </w:r>
          </w:p>
        </w:tc>
      </w:tr>
      <w:tr w:rsidR="00E56E3B" w14:paraId="6520115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51" w14:textId="77777777" w:rsidR="00E56E3B" w:rsidRDefault="009D7C2B">
            <w:r>
              <w:rPr>
                <w:rFonts w:ascii="Arial" w:eastAsia="Arial" w:hAnsi="Arial" w:cs="Arial"/>
                <w:color w:val="000000"/>
              </w:rPr>
              <w:t>4</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52" w14:textId="77777777" w:rsidR="00E56E3B" w:rsidRDefault="009D7C2B">
            <w:r>
              <w:rPr>
                <w:rFonts w:ascii="Arial" w:eastAsia="Arial" w:hAnsi="Arial" w:cs="Arial"/>
                <w:color w:val="000000"/>
              </w:rPr>
              <w:t>Apply reallocation</w:t>
            </w:r>
          </w:p>
        </w:tc>
        <w:tc>
          <w:tcPr>
            <w:tcW w:w="61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53" w14:textId="77777777" w:rsidR="00E56E3B" w:rsidRDefault="009D7C2B">
            <w:r>
              <w:rPr>
                <w:rFonts w:ascii="Arial" w:eastAsia="Arial" w:hAnsi="Arial" w:cs="Arial"/>
                <w:color w:val="000000"/>
              </w:rPr>
              <w:t>Reduction in fossil coefficients must sum to increase in renewable coefficients (row sums preserved)</w:t>
            </w:r>
          </w:p>
        </w:tc>
      </w:tr>
      <w:tr w:rsidR="00E56E3B" w14:paraId="65201158"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55" w14:textId="77777777" w:rsidR="00E56E3B" w:rsidRDefault="009D7C2B">
            <w:r>
              <w:rPr>
                <w:rFonts w:ascii="Arial" w:eastAsia="Arial" w:hAnsi="Arial" w:cs="Arial"/>
                <w:color w:val="000000"/>
              </w:rPr>
              <w:t>5</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56" w14:textId="77777777" w:rsidR="00E56E3B" w:rsidRDefault="009D7C2B">
            <w:r>
              <w:rPr>
                <w:rFonts w:ascii="Arial" w:eastAsia="Arial" w:hAnsi="Arial" w:cs="Arial"/>
                <w:color w:val="000000"/>
              </w:rPr>
              <w:t>Validate satellite accounts</w:t>
            </w:r>
          </w:p>
        </w:tc>
        <w:tc>
          <w:tcPr>
            <w:tcW w:w="61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57" w14:textId="77777777" w:rsidR="00E56E3B" w:rsidRDefault="009D7C2B">
            <w:r>
              <w:rPr>
                <w:rFonts w:ascii="Arial" w:eastAsia="Arial" w:hAnsi="Arial" w:cs="Arial"/>
                <w:color w:val="000000"/>
              </w:rPr>
              <w:t>Verify CO2 intensity reductions are proportional to fossil share reduction</w:t>
            </w:r>
          </w:p>
        </w:tc>
      </w:tr>
      <w:tr w:rsidR="00E56E3B" w14:paraId="6520115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59" w14:textId="77777777" w:rsidR="00E56E3B" w:rsidRDefault="009D7C2B">
            <w:r>
              <w:rPr>
                <w:rFonts w:ascii="Arial" w:eastAsia="Arial" w:hAnsi="Arial" w:cs="Arial"/>
                <w:color w:val="000000"/>
              </w:rPr>
              <w:t>6</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5A" w14:textId="77777777" w:rsidR="00E56E3B" w:rsidRDefault="009D7C2B">
            <w:r>
              <w:rPr>
                <w:rFonts w:ascii="Arial" w:eastAsia="Arial" w:hAnsi="Arial" w:cs="Arial"/>
                <w:color w:val="000000"/>
              </w:rPr>
              <w:t>Run model and check Leontief inverse</w:t>
            </w:r>
          </w:p>
        </w:tc>
        <w:tc>
          <w:tcPr>
            <w:tcW w:w="61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5B" w14:textId="77777777" w:rsidR="00E56E3B" w:rsidRDefault="009D7C2B">
            <w:r>
              <w:rPr>
                <w:rFonts w:ascii="Arial" w:eastAsia="Arial" w:hAnsi="Arial" w:cs="Arial"/>
                <w:color w:val="000000"/>
              </w:rPr>
              <w:t>Ensure no negative outputs; check Leontief stability conditions</w:t>
            </w:r>
          </w:p>
        </w:tc>
      </w:tr>
    </w:tbl>
    <w:p w14:paraId="6520115D" w14:textId="77777777" w:rsidR="00E56E3B" w:rsidRDefault="00E56E3B">
      <w:pPr>
        <w:spacing w:after="80"/>
      </w:pPr>
    </w:p>
    <w:p w14:paraId="6520115E" w14:textId="77777777" w:rsidR="00E56E3B" w:rsidRDefault="009D7C2B">
      <w:pPr>
        <w:pStyle w:val="Heading2"/>
      </w:pPr>
      <w:bookmarkStart w:id="36" w:name="_Toc226561789"/>
      <w:r>
        <w:t>7.4 Scenario Summary Table</w:t>
      </w:r>
      <w:bookmarkEnd w:id="36"/>
    </w:p>
    <w:p w14:paraId="6520115F" w14:textId="77777777" w:rsidR="00E56E3B" w:rsidRDefault="009D7C2B">
      <w:pPr>
        <w:spacing w:after="120"/>
      </w:pPr>
      <w:r>
        <w:rPr>
          <w:rFonts w:ascii="Arial" w:eastAsia="Arial" w:hAnsi="Arial" w:cs="Arial"/>
          <w:sz w:val="22"/>
          <w:szCs w:val="22"/>
        </w:rPr>
        <w:t>Complete cross-geography scenario overview for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9"/>
        <w:gridCol w:w="1336"/>
        <w:gridCol w:w="1551"/>
        <w:gridCol w:w="1552"/>
        <w:gridCol w:w="1552"/>
        <w:gridCol w:w="1552"/>
        <w:gridCol w:w="1038"/>
      </w:tblGrid>
      <w:tr w:rsidR="00E56E3B" w14:paraId="6520116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1160" w14:textId="77777777" w:rsidR="00E56E3B" w:rsidRDefault="009D7C2B">
            <w:r>
              <w:rPr>
                <w:rFonts w:ascii="Arial" w:eastAsia="Arial" w:hAnsi="Arial" w:cs="Arial"/>
                <w:b/>
                <w:bCs/>
                <w:color w:val="000000"/>
              </w:rPr>
              <w:t>ID</w:t>
            </w:r>
          </w:p>
        </w:tc>
        <w:tc>
          <w:tcPr>
            <w:tcW w:w="13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1161" w14:textId="77777777" w:rsidR="00E56E3B" w:rsidRDefault="009D7C2B">
            <w:r>
              <w:rPr>
                <w:rFonts w:ascii="Arial" w:eastAsia="Arial" w:hAnsi="Arial" w:cs="Arial"/>
                <w:b/>
                <w:bCs/>
                <w:color w:val="000000"/>
              </w:rPr>
              <w:t>Geography</w:t>
            </w:r>
          </w:p>
        </w:tc>
        <w:tc>
          <w:tcPr>
            <w:tcW w:w="15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1162" w14:textId="77777777" w:rsidR="00E56E3B" w:rsidRDefault="009D7C2B">
            <w:r>
              <w:rPr>
                <w:rFonts w:ascii="Arial" w:eastAsia="Arial" w:hAnsi="Arial" w:cs="Arial"/>
                <w:b/>
                <w:bCs/>
                <w:color w:val="000000"/>
              </w:rPr>
              <w:t>RE Share 2030</w:t>
            </w:r>
          </w:p>
        </w:tc>
        <w:tc>
          <w:tcPr>
            <w:tcW w:w="15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1163" w14:textId="77777777" w:rsidR="00E56E3B" w:rsidRDefault="009D7C2B">
            <w:r>
              <w:rPr>
                <w:rFonts w:ascii="Arial" w:eastAsia="Arial" w:hAnsi="Arial" w:cs="Arial"/>
                <w:b/>
                <w:bCs/>
                <w:color w:val="000000"/>
              </w:rPr>
              <w:t>RE Share 2050</w:t>
            </w:r>
          </w:p>
        </w:tc>
        <w:tc>
          <w:tcPr>
            <w:tcW w:w="15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1164" w14:textId="77777777" w:rsidR="00E56E3B" w:rsidRDefault="009D7C2B">
            <w:r>
              <w:rPr>
                <w:rFonts w:ascii="Arial" w:eastAsia="Arial" w:hAnsi="Arial" w:cs="Arial"/>
                <w:b/>
                <w:bCs/>
                <w:color w:val="000000"/>
              </w:rPr>
              <w:t>Fossil Δ 2030</w:t>
            </w:r>
          </w:p>
        </w:tc>
        <w:tc>
          <w:tcPr>
            <w:tcW w:w="15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1165" w14:textId="77777777" w:rsidR="00E56E3B" w:rsidRDefault="009D7C2B">
            <w:r>
              <w:rPr>
                <w:rFonts w:ascii="Arial" w:eastAsia="Arial" w:hAnsi="Arial" w:cs="Arial"/>
                <w:b/>
                <w:bCs/>
                <w:color w:val="000000"/>
              </w:rPr>
              <w:t>Net-Zero Year</w:t>
            </w:r>
          </w:p>
        </w:tc>
        <w:tc>
          <w:tcPr>
            <w:tcW w:w="104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201166" w14:textId="77777777" w:rsidR="00E56E3B" w:rsidRDefault="009D7C2B">
            <w:r>
              <w:rPr>
                <w:rFonts w:ascii="Arial" w:eastAsia="Arial" w:hAnsi="Arial" w:cs="Arial"/>
                <w:b/>
                <w:bCs/>
                <w:color w:val="000000"/>
              </w:rPr>
              <w:t>Shock Type</w:t>
            </w:r>
          </w:p>
        </w:tc>
      </w:tr>
      <w:tr w:rsidR="00E56E3B" w14:paraId="6520116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68" w14:textId="77777777" w:rsidR="00E56E3B" w:rsidRDefault="009D7C2B">
            <w:r>
              <w:rPr>
                <w:rFonts w:ascii="Arial" w:eastAsia="Arial" w:hAnsi="Arial" w:cs="Arial"/>
                <w:b/>
                <w:bCs/>
                <w:color w:val="1A5276"/>
              </w:rPr>
              <w:t>ZA-S1</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69" w14:textId="77777777" w:rsidR="00E56E3B" w:rsidRDefault="009D7C2B">
            <w:r>
              <w:rPr>
                <w:rFonts w:ascii="Arial" w:eastAsia="Arial" w:hAnsi="Arial" w:cs="Arial"/>
                <w:color w:val="000000"/>
              </w:rPr>
              <w:t>South Africa</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6A" w14:textId="77777777" w:rsidR="00E56E3B" w:rsidRDefault="009D7C2B">
            <w:r>
              <w:rPr>
                <w:rFonts w:ascii="Arial" w:eastAsia="Arial" w:hAnsi="Arial" w:cs="Arial"/>
                <w:color w:val="000000"/>
              </w:rPr>
              <w:t>60%</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6B" w14:textId="77777777" w:rsidR="00E56E3B" w:rsidRDefault="009D7C2B">
            <w:r>
              <w:rPr>
                <w:rFonts w:ascii="Arial" w:eastAsia="Arial" w:hAnsi="Arial" w:cs="Arial"/>
                <w:color w:val="000000"/>
              </w:rPr>
              <w:t>100%</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6C" w14:textId="77777777" w:rsidR="00E56E3B" w:rsidRDefault="009D7C2B">
            <w:r>
              <w:rPr>
                <w:rFonts w:ascii="Arial" w:eastAsia="Arial" w:hAnsi="Arial" w:cs="Arial"/>
                <w:color w:val="000000"/>
              </w:rPr>
              <w:t>-50%</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6D" w14:textId="77777777" w:rsidR="00E56E3B" w:rsidRDefault="009D7C2B">
            <w:r>
              <w:rPr>
                <w:rFonts w:ascii="Arial" w:eastAsia="Arial" w:hAnsi="Arial" w:cs="Arial"/>
                <w:color w:val="000000"/>
              </w:rPr>
              <w:t>2050</w:t>
            </w:r>
          </w:p>
        </w:tc>
        <w:tc>
          <w:tcPr>
            <w:tcW w:w="10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6E" w14:textId="77777777" w:rsidR="00E56E3B" w:rsidRDefault="009D7C2B">
            <w:r>
              <w:rPr>
                <w:rFonts w:ascii="Arial" w:eastAsia="Arial" w:hAnsi="Arial" w:cs="Arial"/>
                <w:color w:val="000000"/>
              </w:rPr>
              <w:t>Full</w:t>
            </w:r>
          </w:p>
        </w:tc>
      </w:tr>
      <w:tr w:rsidR="00E56E3B" w14:paraId="6520117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70" w14:textId="77777777" w:rsidR="00E56E3B" w:rsidRDefault="009D7C2B">
            <w:r>
              <w:rPr>
                <w:rFonts w:ascii="Arial" w:eastAsia="Arial" w:hAnsi="Arial" w:cs="Arial"/>
                <w:b/>
                <w:bCs/>
                <w:color w:val="1A7A4E"/>
              </w:rPr>
              <w:t>ZA-S2</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71" w14:textId="77777777" w:rsidR="00E56E3B" w:rsidRDefault="009D7C2B">
            <w:r>
              <w:rPr>
                <w:rFonts w:ascii="Arial" w:eastAsia="Arial" w:hAnsi="Arial" w:cs="Arial"/>
                <w:color w:val="000000"/>
              </w:rPr>
              <w:t>South Africa</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72" w14:textId="77777777" w:rsidR="00E56E3B" w:rsidRDefault="009D7C2B">
            <w:r>
              <w:rPr>
                <w:rFonts w:ascii="Arial" w:eastAsia="Arial" w:hAnsi="Arial" w:cs="Arial"/>
                <w:color w:val="000000"/>
              </w:rPr>
              <w:t>22%</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73" w14:textId="77777777" w:rsidR="00E56E3B" w:rsidRDefault="009D7C2B">
            <w:r>
              <w:rPr>
                <w:rFonts w:ascii="Arial" w:eastAsia="Arial" w:hAnsi="Arial" w:cs="Arial"/>
                <w:color w:val="000000"/>
              </w:rPr>
              <w:t>100%*</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74" w14:textId="77777777" w:rsidR="00E56E3B" w:rsidRDefault="009D7C2B">
            <w:r>
              <w:rPr>
                <w:rFonts w:ascii="Arial" w:eastAsia="Arial" w:hAnsi="Arial" w:cs="Arial"/>
                <w:color w:val="000000"/>
              </w:rPr>
              <w:t>-15%</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75" w14:textId="77777777" w:rsidR="00E56E3B" w:rsidRDefault="009D7C2B">
            <w:r>
              <w:rPr>
                <w:rFonts w:ascii="Arial" w:eastAsia="Arial" w:hAnsi="Arial" w:cs="Arial"/>
                <w:color w:val="000000"/>
              </w:rPr>
              <w:t>2050</w:t>
            </w:r>
          </w:p>
        </w:tc>
        <w:tc>
          <w:tcPr>
            <w:tcW w:w="10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76" w14:textId="77777777" w:rsidR="00E56E3B" w:rsidRDefault="009D7C2B">
            <w:r>
              <w:rPr>
                <w:rFonts w:ascii="Arial" w:eastAsia="Arial" w:hAnsi="Arial" w:cs="Arial"/>
                <w:color w:val="000000"/>
              </w:rPr>
              <w:t>Policy</w:t>
            </w:r>
          </w:p>
        </w:tc>
      </w:tr>
      <w:tr w:rsidR="00E56E3B" w14:paraId="6520117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78" w14:textId="77777777" w:rsidR="00E56E3B" w:rsidRDefault="009D7C2B">
            <w:r>
              <w:rPr>
                <w:rFonts w:ascii="Arial" w:eastAsia="Arial" w:hAnsi="Arial" w:cs="Arial"/>
                <w:b/>
                <w:bCs/>
                <w:color w:val="1A5276"/>
              </w:rPr>
              <w:t>IN-S1</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79" w14:textId="77777777" w:rsidR="00E56E3B" w:rsidRDefault="009D7C2B">
            <w:r>
              <w:rPr>
                <w:rFonts w:ascii="Arial" w:eastAsia="Arial" w:hAnsi="Arial" w:cs="Arial"/>
                <w:color w:val="000000"/>
              </w:rPr>
              <w:t>India</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7A" w14:textId="77777777" w:rsidR="00E56E3B" w:rsidRDefault="009D7C2B">
            <w:r>
              <w:rPr>
                <w:rFonts w:ascii="Arial" w:eastAsia="Arial" w:hAnsi="Arial" w:cs="Arial"/>
                <w:color w:val="000000"/>
              </w:rPr>
              <w:t>75%</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7B" w14:textId="77777777" w:rsidR="00E56E3B" w:rsidRDefault="009D7C2B">
            <w:r>
              <w:rPr>
                <w:rFonts w:ascii="Arial" w:eastAsia="Arial" w:hAnsi="Arial" w:cs="Arial"/>
                <w:color w:val="000000"/>
              </w:rPr>
              <w:t>100%</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7C" w14:textId="77777777" w:rsidR="00E56E3B" w:rsidRDefault="009D7C2B">
            <w:r>
              <w:rPr>
                <w:rFonts w:ascii="Arial" w:eastAsia="Arial" w:hAnsi="Arial" w:cs="Arial"/>
                <w:color w:val="000000"/>
              </w:rPr>
              <w:t>-25%</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7D" w14:textId="77777777" w:rsidR="00E56E3B" w:rsidRDefault="009D7C2B">
            <w:r>
              <w:rPr>
                <w:rFonts w:ascii="Arial" w:eastAsia="Arial" w:hAnsi="Arial" w:cs="Arial"/>
                <w:color w:val="000000"/>
              </w:rPr>
              <w:t>2070</w:t>
            </w:r>
          </w:p>
        </w:tc>
        <w:tc>
          <w:tcPr>
            <w:tcW w:w="10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7E" w14:textId="77777777" w:rsidR="00E56E3B" w:rsidRDefault="009D7C2B">
            <w:r>
              <w:rPr>
                <w:rFonts w:ascii="Arial" w:eastAsia="Arial" w:hAnsi="Arial" w:cs="Arial"/>
                <w:color w:val="000000"/>
              </w:rPr>
              <w:t>Full</w:t>
            </w:r>
          </w:p>
        </w:tc>
      </w:tr>
      <w:tr w:rsidR="00E56E3B" w14:paraId="6520118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80" w14:textId="77777777" w:rsidR="00E56E3B" w:rsidRDefault="009D7C2B">
            <w:r>
              <w:rPr>
                <w:rFonts w:ascii="Arial" w:eastAsia="Arial" w:hAnsi="Arial" w:cs="Arial"/>
                <w:b/>
                <w:bCs/>
                <w:color w:val="1A7A4E"/>
              </w:rPr>
              <w:t>IN-S2</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81" w14:textId="77777777" w:rsidR="00E56E3B" w:rsidRDefault="009D7C2B">
            <w:r>
              <w:rPr>
                <w:rFonts w:ascii="Arial" w:eastAsia="Arial" w:hAnsi="Arial" w:cs="Arial"/>
                <w:color w:val="000000"/>
              </w:rPr>
              <w:t>India</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82" w14:textId="77777777" w:rsidR="00E56E3B" w:rsidRDefault="009D7C2B">
            <w:r>
              <w:rPr>
                <w:rFonts w:ascii="Arial" w:eastAsia="Arial" w:hAnsi="Arial" w:cs="Arial"/>
                <w:color w:val="000000"/>
              </w:rPr>
              <w:t>66%</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83" w14:textId="77777777" w:rsidR="00E56E3B" w:rsidRDefault="009D7C2B">
            <w:r>
              <w:rPr>
                <w:rFonts w:ascii="Arial" w:eastAsia="Arial" w:hAnsi="Arial" w:cs="Arial"/>
                <w:color w:val="000000"/>
              </w:rPr>
              <w:t>~96%*</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84" w14:textId="77777777" w:rsidR="00E56E3B" w:rsidRDefault="009D7C2B">
            <w:r>
              <w:rPr>
                <w:rFonts w:ascii="Arial" w:eastAsia="Arial" w:hAnsi="Arial" w:cs="Arial"/>
                <w:color w:val="000000"/>
              </w:rPr>
              <w:t>-35%</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85" w14:textId="77777777" w:rsidR="00E56E3B" w:rsidRDefault="009D7C2B">
            <w:r>
              <w:rPr>
                <w:rFonts w:ascii="Arial" w:eastAsia="Arial" w:hAnsi="Arial" w:cs="Arial"/>
                <w:color w:val="000000"/>
              </w:rPr>
              <w:t>2070</w:t>
            </w:r>
          </w:p>
        </w:tc>
        <w:tc>
          <w:tcPr>
            <w:tcW w:w="10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86" w14:textId="77777777" w:rsidR="00E56E3B" w:rsidRDefault="009D7C2B">
            <w:r>
              <w:rPr>
                <w:rFonts w:ascii="Arial" w:eastAsia="Arial" w:hAnsi="Arial" w:cs="Arial"/>
                <w:color w:val="000000"/>
              </w:rPr>
              <w:t>Policy</w:t>
            </w:r>
          </w:p>
        </w:tc>
      </w:tr>
      <w:tr w:rsidR="00E56E3B" w14:paraId="6520118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88" w14:textId="77777777" w:rsidR="00E56E3B" w:rsidRDefault="009D7C2B">
            <w:r>
              <w:rPr>
                <w:rFonts w:ascii="Arial" w:eastAsia="Arial" w:hAnsi="Arial" w:cs="Arial"/>
                <w:b/>
                <w:bCs/>
                <w:color w:val="1A5276"/>
              </w:rPr>
              <w:t>BR-S1</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89" w14:textId="77777777" w:rsidR="00E56E3B" w:rsidRDefault="009D7C2B">
            <w:r>
              <w:rPr>
                <w:rFonts w:ascii="Arial" w:eastAsia="Arial" w:hAnsi="Arial" w:cs="Arial"/>
                <w:color w:val="000000"/>
              </w:rPr>
              <w:t>Brazil</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8A" w14:textId="77777777" w:rsidR="00E56E3B" w:rsidRDefault="009D7C2B">
            <w:r>
              <w:rPr>
                <w:rFonts w:ascii="Arial" w:eastAsia="Arial" w:hAnsi="Arial" w:cs="Arial"/>
                <w:color w:val="000000"/>
              </w:rPr>
              <w:t>100%</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8B" w14:textId="77777777" w:rsidR="00E56E3B" w:rsidRDefault="009D7C2B">
            <w:r>
              <w:rPr>
                <w:rFonts w:ascii="Arial" w:eastAsia="Arial" w:hAnsi="Arial" w:cs="Arial"/>
                <w:color w:val="000000"/>
              </w:rPr>
              <w:t>100%</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8C" w14:textId="77777777" w:rsidR="00E56E3B" w:rsidRDefault="009D7C2B">
            <w:r>
              <w:rPr>
                <w:rFonts w:ascii="Arial" w:eastAsia="Arial" w:hAnsi="Arial" w:cs="Arial"/>
                <w:color w:val="000000"/>
              </w:rPr>
              <w:t>-100%*</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8D" w14:textId="77777777" w:rsidR="00E56E3B" w:rsidRDefault="009D7C2B">
            <w:r>
              <w:rPr>
                <w:rFonts w:ascii="Arial" w:eastAsia="Arial" w:hAnsi="Arial" w:cs="Arial"/>
                <w:color w:val="000000"/>
              </w:rPr>
              <w:t>2050</w:t>
            </w:r>
          </w:p>
        </w:tc>
        <w:tc>
          <w:tcPr>
            <w:tcW w:w="10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8E" w14:textId="77777777" w:rsidR="00E56E3B" w:rsidRDefault="009D7C2B">
            <w:r>
              <w:rPr>
                <w:rFonts w:ascii="Arial" w:eastAsia="Arial" w:hAnsi="Arial" w:cs="Arial"/>
                <w:color w:val="000000"/>
              </w:rPr>
              <w:t>Full</w:t>
            </w:r>
          </w:p>
        </w:tc>
      </w:tr>
      <w:tr w:rsidR="00E56E3B" w14:paraId="6520119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90" w14:textId="77777777" w:rsidR="00E56E3B" w:rsidRDefault="009D7C2B">
            <w:r>
              <w:rPr>
                <w:rFonts w:ascii="Arial" w:eastAsia="Arial" w:hAnsi="Arial" w:cs="Arial"/>
                <w:b/>
                <w:bCs/>
                <w:color w:val="1A7A4E"/>
              </w:rPr>
              <w:t>BR-S2</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91" w14:textId="77777777" w:rsidR="00E56E3B" w:rsidRDefault="009D7C2B">
            <w:r>
              <w:rPr>
                <w:rFonts w:ascii="Arial" w:eastAsia="Arial" w:hAnsi="Arial" w:cs="Arial"/>
                <w:color w:val="000000"/>
              </w:rPr>
              <w:t>Brazil</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92" w14:textId="77777777" w:rsidR="00E56E3B" w:rsidRDefault="009D7C2B">
            <w:r>
              <w:rPr>
                <w:rFonts w:ascii="Arial" w:eastAsia="Arial" w:hAnsi="Arial" w:cs="Arial"/>
                <w:color w:val="000000"/>
              </w:rPr>
              <w:t>90%</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93" w14:textId="77777777" w:rsidR="00E56E3B" w:rsidRDefault="009D7C2B">
            <w:r>
              <w:rPr>
                <w:rFonts w:ascii="Arial" w:eastAsia="Arial" w:hAnsi="Arial" w:cs="Arial"/>
                <w:color w:val="000000"/>
              </w:rPr>
              <w:t>95%+</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94" w14:textId="77777777" w:rsidR="00E56E3B" w:rsidRDefault="009D7C2B">
            <w:r>
              <w:rPr>
                <w:rFonts w:ascii="Arial" w:eastAsia="Arial" w:hAnsi="Arial" w:cs="Arial"/>
                <w:color w:val="000000"/>
              </w:rPr>
              <w:t>-80%</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95" w14:textId="77777777" w:rsidR="00E56E3B" w:rsidRDefault="009D7C2B">
            <w:r>
              <w:rPr>
                <w:rFonts w:ascii="Arial" w:eastAsia="Arial" w:hAnsi="Arial" w:cs="Arial"/>
                <w:color w:val="000000"/>
              </w:rPr>
              <w:t>2050</w:t>
            </w:r>
          </w:p>
        </w:tc>
        <w:tc>
          <w:tcPr>
            <w:tcW w:w="10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96" w14:textId="77777777" w:rsidR="00E56E3B" w:rsidRDefault="009D7C2B">
            <w:r>
              <w:rPr>
                <w:rFonts w:ascii="Arial" w:eastAsia="Arial" w:hAnsi="Arial" w:cs="Arial"/>
                <w:color w:val="000000"/>
              </w:rPr>
              <w:t>Policy</w:t>
            </w:r>
          </w:p>
        </w:tc>
      </w:tr>
      <w:tr w:rsidR="00E56E3B" w14:paraId="6520119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98" w14:textId="77777777" w:rsidR="00E56E3B" w:rsidRDefault="009D7C2B">
            <w:r>
              <w:rPr>
                <w:rFonts w:ascii="Arial" w:eastAsia="Arial" w:hAnsi="Arial" w:cs="Arial"/>
                <w:b/>
                <w:bCs/>
                <w:color w:val="1A5276"/>
              </w:rPr>
              <w:t>WF-S1</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99" w14:textId="77777777" w:rsidR="00E56E3B" w:rsidRDefault="009D7C2B">
            <w:r>
              <w:rPr>
                <w:rFonts w:ascii="Arial" w:eastAsia="Arial" w:hAnsi="Arial" w:cs="Arial"/>
                <w:color w:val="000000"/>
              </w:rPr>
              <w:t>Rest Africa</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9A" w14:textId="77777777" w:rsidR="00E56E3B" w:rsidRDefault="009D7C2B">
            <w:r>
              <w:rPr>
                <w:rFonts w:ascii="Arial" w:eastAsia="Arial" w:hAnsi="Arial" w:cs="Arial"/>
                <w:color w:val="000000"/>
              </w:rPr>
              <w:t>80%</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9B" w14:textId="77777777" w:rsidR="00E56E3B" w:rsidRDefault="009D7C2B">
            <w:r>
              <w:rPr>
                <w:rFonts w:ascii="Arial" w:eastAsia="Arial" w:hAnsi="Arial" w:cs="Arial"/>
                <w:color w:val="000000"/>
              </w:rPr>
              <w:t>100%</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9C" w14:textId="77777777" w:rsidR="00E56E3B" w:rsidRDefault="009D7C2B">
            <w:r>
              <w:rPr>
                <w:rFonts w:ascii="Arial" w:eastAsia="Arial" w:hAnsi="Arial" w:cs="Arial"/>
                <w:color w:val="000000"/>
              </w:rPr>
              <w:t>-40%</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9D" w14:textId="77777777" w:rsidR="00E56E3B" w:rsidRDefault="009D7C2B">
            <w:r>
              <w:rPr>
                <w:rFonts w:ascii="Arial" w:eastAsia="Arial" w:hAnsi="Arial" w:cs="Arial"/>
                <w:color w:val="000000"/>
              </w:rPr>
              <w:t>2050</w:t>
            </w:r>
          </w:p>
        </w:tc>
        <w:tc>
          <w:tcPr>
            <w:tcW w:w="10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9E" w14:textId="77777777" w:rsidR="00E56E3B" w:rsidRDefault="009D7C2B">
            <w:r>
              <w:rPr>
                <w:rFonts w:ascii="Arial" w:eastAsia="Arial" w:hAnsi="Arial" w:cs="Arial"/>
                <w:color w:val="000000"/>
              </w:rPr>
              <w:t>Full</w:t>
            </w:r>
          </w:p>
        </w:tc>
      </w:tr>
      <w:tr w:rsidR="00E56E3B" w14:paraId="652011A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A0" w14:textId="77777777" w:rsidR="00E56E3B" w:rsidRDefault="009D7C2B">
            <w:r>
              <w:rPr>
                <w:rFonts w:ascii="Arial" w:eastAsia="Arial" w:hAnsi="Arial" w:cs="Arial"/>
                <w:b/>
                <w:bCs/>
                <w:color w:val="1A7A4E"/>
              </w:rPr>
              <w:t>WF-S2</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A1" w14:textId="77777777" w:rsidR="00E56E3B" w:rsidRDefault="009D7C2B">
            <w:r>
              <w:rPr>
                <w:rFonts w:ascii="Arial" w:eastAsia="Arial" w:hAnsi="Arial" w:cs="Arial"/>
                <w:color w:val="000000"/>
              </w:rPr>
              <w:t>Rest Africa</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A2" w14:textId="77777777" w:rsidR="00E56E3B" w:rsidRDefault="009D7C2B">
            <w:r>
              <w:rPr>
                <w:rFonts w:ascii="Arial" w:eastAsia="Arial" w:hAnsi="Arial" w:cs="Arial"/>
                <w:color w:val="000000"/>
              </w:rPr>
              <w:t>80%**</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A3" w14:textId="77777777" w:rsidR="00E56E3B" w:rsidRDefault="009D7C2B">
            <w:r>
              <w:rPr>
                <w:rFonts w:ascii="Arial" w:eastAsia="Arial" w:hAnsi="Arial" w:cs="Arial"/>
                <w:color w:val="000000"/>
              </w:rPr>
              <w:t>85%+</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A4" w14:textId="77777777" w:rsidR="00E56E3B" w:rsidRDefault="009D7C2B">
            <w:r>
              <w:rPr>
                <w:rFonts w:ascii="Arial" w:eastAsia="Arial" w:hAnsi="Arial" w:cs="Arial"/>
                <w:color w:val="000000"/>
              </w:rPr>
              <w:t>-30%</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A5" w14:textId="77777777" w:rsidR="00E56E3B" w:rsidRDefault="009D7C2B">
            <w:r>
              <w:rPr>
                <w:rFonts w:ascii="Arial" w:eastAsia="Arial" w:hAnsi="Arial" w:cs="Arial"/>
                <w:color w:val="000000"/>
              </w:rPr>
              <w:t>2060*</w:t>
            </w:r>
          </w:p>
        </w:tc>
        <w:tc>
          <w:tcPr>
            <w:tcW w:w="10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A6" w14:textId="77777777" w:rsidR="00E56E3B" w:rsidRDefault="009D7C2B">
            <w:r>
              <w:rPr>
                <w:rFonts w:ascii="Arial" w:eastAsia="Arial" w:hAnsi="Arial" w:cs="Arial"/>
                <w:color w:val="000000"/>
              </w:rPr>
              <w:t>Policy</w:t>
            </w:r>
          </w:p>
        </w:tc>
      </w:tr>
      <w:tr w:rsidR="00E56E3B" w14:paraId="652011A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A8" w14:textId="77777777" w:rsidR="00E56E3B" w:rsidRDefault="009D7C2B">
            <w:r>
              <w:rPr>
                <w:rFonts w:ascii="Arial" w:eastAsia="Arial" w:hAnsi="Arial" w:cs="Arial"/>
                <w:b/>
                <w:bCs/>
                <w:color w:val="1A5276"/>
              </w:rPr>
              <w:t>WM-S1</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A9" w14:textId="77777777" w:rsidR="00E56E3B" w:rsidRDefault="009D7C2B">
            <w:r>
              <w:rPr>
                <w:rFonts w:ascii="Arial" w:eastAsia="Arial" w:hAnsi="Arial" w:cs="Arial"/>
                <w:color w:val="000000"/>
              </w:rPr>
              <w:t>Rest M.East</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AA" w14:textId="77777777" w:rsidR="00E56E3B" w:rsidRDefault="009D7C2B">
            <w:r>
              <w:rPr>
                <w:rFonts w:ascii="Arial" w:eastAsia="Arial" w:hAnsi="Arial" w:cs="Arial"/>
                <w:color w:val="000000"/>
              </w:rPr>
              <w:t>60%</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AB" w14:textId="77777777" w:rsidR="00E56E3B" w:rsidRDefault="009D7C2B">
            <w:r>
              <w:rPr>
                <w:rFonts w:ascii="Arial" w:eastAsia="Arial" w:hAnsi="Arial" w:cs="Arial"/>
                <w:color w:val="000000"/>
              </w:rPr>
              <w:t>100%</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AC" w14:textId="77777777" w:rsidR="00E56E3B" w:rsidRDefault="009D7C2B">
            <w:r>
              <w:rPr>
                <w:rFonts w:ascii="Arial" w:eastAsia="Arial" w:hAnsi="Arial" w:cs="Arial"/>
                <w:color w:val="000000"/>
              </w:rPr>
              <w:t>-55%</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AD" w14:textId="77777777" w:rsidR="00E56E3B" w:rsidRDefault="009D7C2B">
            <w:r>
              <w:rPr>
                <w:rFonts w:ascii="Arial" w:eastAsia="Arial" w:hAnsi="Arial" w:cs="Arial"/>
                <w:color w:val="000000"/>
              </w:rPr>
              <w:t>2050</w:t>
            </w:r>
          </w:p>
        </w:tc>
        <w:tc>
          <w:tcPr>
            <w:tcW w:w="10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AE" w14:textId="77777777" w:rsidR="00E56E3B" w:rsidRDefault="009D7C2B">
            <w:r>
              <w:rPr>
                <w:rFonts w:ascii="Arial" w:eastAsia="Arial" w:hAnsi="Arial" w:cs="Arial"/>
                <w:color w:val="000000"/>
              </w:rPr>
              <w:t>Full</w:t>
            </w:r>
          </w:p>
        </w:tc>
      </w:tr>
      <w:tr w:rsidR="00E56E3B" w14:paraId="652011B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B0" w14:textId="77777777" w:rsidR="00E56E3B" w:rsidRDefault="009D7C2B">
            <w:r>
              <w:rPr>
                <w:rFonts w:ascii="Arial" w:eastAsia="Arial" w:hAnsi="Arial" w:cs="Arial"/>
                <w:b/>
                <w:bCs/>
                <w:color w:val="1A7A4E"/>
              </w:rPr>
              <w:t>WM-S2</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B1" w14:textId="77777777" w:rsidR="00E56E3B" w:rsidRDefault="009D7C2B">
            <w:r>
              <w:rPr>
                <w:rFonts w:ascii="Arial" w:eastAsia="Arial" w:hAnsi="Arial" w:cs="Arial"/>
                <w:color w:val="000000"/>
              </w:rPr>
              <w:t>Rest M.East</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B2" w14:textId="77777777" w:rsidR="00E56E3B" w:rsidRDefault="009D7C2B">
            <w:r>
              <w:rPr>
                <w:rFonts w:ascii="Arial" w:eastAsia="Arial" w:hAnsi="Arial" w:cs="Arial"/>
                <w:color w:val="000000"/>
              </w:rPr>
              <w:t>~35%</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B3" w14:textId="77777777" w:rsidR="00E56E3B" w:rsidRDefault="009D7C2B">
            <w:r>
              <w:rPr>
                <w:rFonts w:ascii="Arial" w:eastAsia="Arial" w:hAnsi="Arial" w:cs="Arial"/>
                <w:color w:val="000000"/>
              </w:rPr>
              <w:t>53%</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B4" w14:textId="77777777" w:rsidR="00E56E3B" w:rsidRDefault="009D7C2B">
            <w:r>
              <w:rPr>
                <w:rFonts w:ascii="Arial" w:eastAsia="Arial" w:hAnsi="Arial" w:cs="Arial"/>
                <w:color w:val="000000"/>
              </w:rPr>
              <w:t>-20%</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B5" w14:textId="77777777" w:rsidR="00E56E3B" w:rsidRDefault="009D7C2B">
            <w:r>
              <w:rPr>
                <w:rFonts w:ascii="Arial" w:eastAsia="Arial" w:hAnsi="Arial" w:cs="Arial"/>
                <w:color w:val="000000"/>
              </w:rPr>
              <w:t>~2055</w:t>
            </w:r>
          </w:p>
        </w:tc>
        <w:tc>
          <w:tcPr>
            <w:tcW w:w="10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011B6" w14:textId="77777777" w:rsidR="00E56E3B" w:rsidRDefault="009D7C2B">
            <w:r>
              <w:rPr>
                <w:rFonts w:ascii="Arial" w:eastAsia="Arial" w:hAnsi="Arial" w:cs="Arial"/>
                <w:color w:val="000000"/>
              </w:rPr>
              <w:t>Policy</w:t>
            </w:r>
          </w:p>
        </w:tc>
      </w:tr>
    </w:tbl>
    <w:p w14:paraId="652011B8" w14:textId="77777777" w:rsidR="00E56E3B" w:rsidRDefault="00E56E3B">
      <w:pPr>
        <w:spacing w:after="80"/>
      </w:pPr>
    </w:p>
    <w:p w14:paraId="652011B9" w14:textId="77777777" w:rsidR="00E56E3B" w:rsidRDefault="009D7C2B">
      <w:pPr>
        <w:spacing w:after="120"/>
      </w:pPr>
      <w:r>
        <w:rPr>
          <w:rFonts w:ascii="Arial" w:eastAsia="Arial" w:hAnsi="Arial" w:cs="Arial"/>
          <w:i/>
          <w:iCs/>
          <w:color w:val="666666"/>
          <w:sz w:val="22"/>
          <w:szCs w:val="22"/>
        </w:rPr>
        <w:t>* Net-zero for electricity sector specifically; ** new generation only; * BR-S1 fossil electricity is ~10% of total, hence -100% of that residual fossil share</w:t>
      </w:r>
    </w:p>
    <w:p w14:paraId="652011BA" w14:textId="77777777" w:rsidR="00E56E3B" w:rsidRDefault="00E56E3B">
      <w:pPr>
        <w:spacing w:after="80"/>
      </w:pPr>
    </w:p>
    <w:p w14:paraId="652011BB" w14:textId="77777777" w:rsidR="00E56E3B" w:rsidRDefault="009D7C2B">
      <w:pPr>
        <w:pStyle w:val="Heading2"/>
      </w:pPr>
      <w:bookmarkStart w:id="37" w:name="_Toc226561790"/>
      <w:r>
        <w:t>7.5 Key Modelling Assumptions and Limitations</w:t>
      </w:r>
      <w:bookmarkEnd w:id="37"/>
    </w:p>
    <w:p w14:paraId="652011BC" w14:textId="77777777" w:rsidR="00E56E3B" w:rsidRDefault="009D7C2B">
      <w:pPr>
        <w:pStyle w:val="ListParagraph"/>
        <w:numPr>
          <w:ilvl w:val="0"/>
          <w:numId w:val="2"/>
        </w:numPr>
        <w:spacing w:after="80"/>
      </w:pPr>
      <w:r>
        <w:rPr>
          <w:rFonts w:ascii="Arial" w:eastAsia="Arial" w:hAnsi="Arial" w:cs="Arial"/>
          <w:sz w:val="22"/>
          <w:szCs w:val="22"/>
        </w:rPr>
        <w:t>Exiobase 2021 is used as the baseline year. Structural changes since 2021 are not reflected in the baseline A-matrix.</w:t>
      </w:r>
    </w:p>
    <w:p w14:paraId="652011BD" w14:textId="77777777" w:rsidR="00E56E3B" w:rsidRDefault="009D7C2B">
      <w:pPr>
        <w:pStyle w:val="ListParagraph"/>
        <w:numPr>
          <w:ilvl w:val="0"/>
          <w:numId w:val="2"/>
        </w:numPr>
        <w:spacing w:after="80"/>
      </w:pPr>
      <w:r>
        <w:rPr>
          <w:rFonts w:ascii="Arial" w:eastAsia="Arial" w:hAnsi="Arial" w:cs="Arial"/>
          <w:sz w:val="22"/>
          <w:szCs w:val="22"/>
        </w:rPr>
        <w:lastRenderedPageBreak/>
        <w:t>Shocks assume partial equilibrium — second-order supply chain effects are captured by the Leontief inverse but behavioural responses (price elasticities) are not modelled.</w:t>
      </w:r>
    </w:p>
    <w:p w14:paraId="652011BE" w14:textId="77777777" w:rsidR="00E56E3B" w:rsidRDefault="009D7C2B">
      <w:pPr>
        <w:pStyle w:val="ListParagraph"/>
        <w:numPr>
          <w:ilvl w:val="0"/>
          <w:numId w:val="2"/>
        </w:numPr>
        <w:spacing w:after="80"/>
      </w:pPr>
      <w:r>
        <w:rPr>
          <w:rFonts w:ascii="Arial" w:eastAsia="Arial" w:hAnsi="Arial" w:cs="Arial"/>
          <w:sz w:val="22"/>
          <w:szCs w:val="22"/>
        </w:rPr>
        <w:t>The Rest of Africa (WF) and Rest of Middle East (WM) Exiobase regions are heterogeneous aggregates. Country-level policies are mapped to the aggregate region using GDP-weighted averages where possible.</w:t>
      </w:r>
    </w:p>
    <w:p w14:paraId="652011BF" w14:textId="77777777" w:rsidR="00E56E3B" w:rsidRDefault="009D7C2B">
      <w:pPr>
        <w:pStyle w:val="ListParagraph"/>
        <w:numPr>
          <w:ilvl w:val="0"/>
          <w:numId w:val="2"/>
        </w:numPr>
        <w:spacing w:after="80"/>
      </w:pPr>
      <w:r>
        <w:rPr>
          <w:rFonts w:ascii="Arial" w:eastAsia="Arial" w:hAnsi="Arial" w:cs="Arial"/>
          <w:sz w:val="22"/>
          <w:szCs w:val="22"/>
        </w:rPr>
        <w:t>Energy capacity targets (GW) are translated to production share changes using assumed capacity factors: solar 20%, wind 30%, hydro 45%, coal 70%, gas 55%.</w:t>
      </w:r>
    </w:p>
    <w:p w14:paraId="652011C0" w14:textId="77777777" w:rsidR="00E56E3B" w:rsidRDefault="009D7C2B">
      <w:pPr>
        <w:pStyle w:val="ListParagraph"/>
        <w:numPr>
          <w:ilvl w:val="0"/>
          <w:numId w:val="2"/>
        </w:numPr>
        <w:spacing w:after="80"/>
      </w:pPr>
      <w:r>
        <w:rPr>
          <w:rFonts w:ascii="Arial" w:eastAsia="Arial" w:hAnsi="Arial" w:cs="Arial"/>
          <w:sz w:val="22"/>
          <w:szCs w:val="22"/>
        </w:rPr>
        <w:t>LULUCF shocks for Brazil are excluded from this electricity-focused scenario framework but should be incorporated in a broader land-use model extension.</w:t>
      </w:r>
    </w:p>
    <w:p w14:paraId="652011C1" w14:textId="77777777" w:rsidR="00E56E3B" w:rsidRDefault="009D7C2B">
      <w:pPr>
        <w:pStyle w:val="ListParagraph"/>
        <w:numPr>
          <w:ilvl w:val="0"/>
          <w:numId w:val="2"/>
        </w:numPr>
        <w:spacing w:after="80"/>
      </w:pPr>
      <w:r>
        <w:rPr>
          <w:rFonts w:ascii="Arial" w:eastAsia="Arial" w:hAnsi="Arial" w:cs="Arial"/>
          <w:sz w:val="22"/>
          <w:szCs w:val="22"/>
        </w:rPr>
        <w:t>Hydrogen production shocks (relevant for Saudi Arabia, UAE, and Brazil) are noted as a future model extension beyond this baseline scenario set.</w:t>
      </w:r>
    </w:p>
    <w:p w14:paraId="652011C2" w14:textId="77777777" w:rsidR="00E56E3B" w:rsidRDefault="009D7C2B">
      <w:r>
        <w:br w:type="page"/>
      </w:r>
    </w:p>
    <w:p w14:paraId="652011C3" w14:textId="77777777" w:rsidR="00E56E3B" w:rsidRDefault="009D7C2B">
      <w:pPr>
        <w:pStyle w:val="Heading1"/>
        <w:pBdr>
          <w:bottom w:val="single" w:sz="8" w:space="4" w:color="2E5FA3"/>
        </w:pBdr>
      </w:pPr>
      <w:bookmarkStart w:id="38" w:name="s8"/>
      <w:bookmarkStart w:id="39" w:name="_Toc226561791"/>
      <w:r>
        <w:lastRenderedPageBreak/>
        <w:t>8. Key Sources and References</w:t>
      </w:r>
      <w:bookmarkEnd w:id="38"/>
      <w:bookmarkEnd w:id="39"/>
    </w:p>
    <w:p w14:paraId="652011C4" w14:textId="77777777" w:rsidR="00E56E3B" w:rsidRDefault="009D7C2B">
      <w:pPr>
        <w:pStyle w:val="Heading2"/>
      </w:pPr>
      <w:bookmarkStart w:id="40" w:name="_Toc226561792"/>
      <w:r>
        <w:t>South Africa</w:t>
      </w:r>
      <w:bookmarkEnd w:id="40"/>
    </w:p>
    <w:p w14:paraId="652011C5" w14:textId="77777777" w:rsidR="00E56E3B" w:rsidRDefault="009D7C2B">
      <w:pPr>
        <w:pStyle w:val="ListParagraph"/>
        <w:numPr>
          <w:ilvl w:val="0"/>
          <w:numId w:val="2"/>
        </w:numPr>
        <w:spacing w:after="60"/>
      </w:pPr>
      <w:r>
        <w:rPr>
          <w:rFonts w:ascii="Arial" w:eastAsia="Arial" w:hAnsi="Arial" w:cs="Arial"/>
        </w:rPr>
        <w:t>South Africa Second Nationally Determined Contribution, UNFCCC, October 2025.</w:t>
      </w:r>
    </w:p>
    <w:p w14:paraId="652011C6" w14:textId="77777777" w:rsidR="00E56E3B" w:rsidRDefault="009D7C2B">
      <w:pPr>
        <w:pStyle w:val="ListParagraph"/>
        <w:numPr>
          <w:ilvl w:val="0"/>
          <w:numId w:val="2"/>
        </w:numPr>
        <w:spacing w:after="60"/>
      </w:pPr>
      <w:r>
        <w:rPr>
          <w:rFonts w:ascii="Arial" w:eastAsia="Arial" w:hAnsi="Arial" w:cs="Arial"/>
        </w:rPr>
        <w:t>Integrated Resource Plan 2023, Department of Mineral Resources and Energy, Republic of South Africa.</w:t>
      </w:r>
    </w:p>
    <w:p w14:paraId="652011C7" w14:textId="77777777" w:rsidR="00E56E3B" w:rsidRDefault="009D7C2B">
      <w:pPr>
        <w:pStyle w:val="ListParagraph"/>
        <w:numPr>
          <w:ilvl w:val="0"/>
          <w:numId w:val="2"/>
        </w:numPr>
        <w:spacing w:after="60"/>
      </w:pPr>
      <w:r>
        <w:rPr>
          <w:rFonts w:ascii="Arial" w:eastAsia="Arial" w:hAnsi="Arial" w:cs="Arial"/>
        </w:rPr>
        <w:t>Climate Change Act (Act 22 of 2024), Government Gazette No. 50966, 23 July 2024.</w:t>
      </w:r>
    </w:p>
    <w:p w14:paraId="652011C8" w14:textId="77777777" w:rsidR="00E56E3B" w:rsidRDefault="009D7C2B">
      <w:pPr>
        <w:pStyle w:val="ListParagraph"/>
        <w:numPr>
          <w:ilvl w:val="0"/>
          <w:numId w:val="2"/>
        </w:numPr>
        <w:spacing w:after="60"/>
      </w:pPr>
      <w:r>
        <w:rPr>
          <w:rFonts w:ascii="Arial" w:eastAsia="Arial" w:hAnsi="Arial" w:cs="Arial"/>
        </w:rPr>
        <w:t>Just Energy Transition Investment Plan (JETP-IP), Presidential Climate Commission, 2023.</w:t>
      </w:r>
    </w:p>
    <w:p w14:paraId="652011C9" w14:textId="77777777" w:rsidR="00E56E3B" w:rsidRDefault="009D7C2B">
      <w:pPr>
        <w:pStyle w:val="ListParagraph"/>
        <w:numPr>
          <w:ilvl w:val="0"/>
          <w:numId w:val="2"/>
        </w:numPr>
        <w:spacing w:after="60"/>
      </w:pPr>
      <w:r>
        <w:rPr>
          <w:rFonts w:ascii="Arial" w:eastAsia="Arial" w:hAnsi="Arial" w:cs="Arial"/>
        </w:rPr>
        <w:t>South Africa Energy Outlook, International Energy Agency, 2023.</w:t>
      </w:r>
    </w:p>
    <w:p w14:paraId="652011CA" w14:textId="77777777" w:rsidR="00E56E3B" w:rsidRDefault="009D7C2B">
      <w:pPr>
        <w:pStyle w:val="Heading2"/>
      </w:pPr>
      <w:bookmarkStart w:id="41" w:name="_Toc226561793"/>
      <w:r>
        <w:t>India</w:t>
      </w:r>
      <w:bookmarkEnd w:id="41"/>
    </w:p>
    <w:p w14:paraId="652011CB" w14:textId="77777777" w:rsidR="00E56E3B" w:rsidRDefault="009D7C2B">
      <w:pPr>
        <w:pStyle w:val="ListParagraph"/>
        <w:numPr>
          <w:ilvl w:val="0"/>
          <w:numId w:val="2"/>
        </w:numPr>
        <w:spacing w:after="60"/>
      </w:pPr>
      <w:r>
        <w:rPr>
          <w:rFonts w:ascii="Arial" w:eastAsia="Arial" w:hAnsi="Arial" w:cs="Arial"/>
        </w:rPr>
        <w:t>India Updated Nationally Determined Contribution, Ministry of Environment, Forest and Climate Change, August 2022.</w:t>
      </w:r>
    </w:p>
    <w:p w14:paraId="652011CC" w14:textId="77777777" w:rsidR="00E56E3B" w:rsidRDefault="009D7C2B">
      <w:pPr>
        <w:pStyle w:val="ListParagraph"/>
        <w:numPr>
          <w:ilvl w:val="0"/>
          <w:numId w:val="2"/>
        </w:numPr>
        <w:spacing w:after="60"/>
      </w:pPr>
      <w:r>
        <w:rPr>
          <w:rFonts w:ascii="Arial" w:eastAsia="Arial" w:hAnsi="Arial" w:cs="Arial"/>
        </w:rPr>
        <w:t>National Electricity Plan 2023, Central Electricity Authority, Government of India.</w:t>
      </w:r>
    </w:p>
    <w:p w14:paraId="652011CD" w14:textId="77777777" w:rsidR="00E56E3B" w:rsidRDefault="009D7C2B">
      <w:pPr>
        <w:pStyle w:val="ListParagraph"/>
        <w:numPr>
          <w:ilvl w:val="0"/>
          <w:numId w:val="2"/>
        </w:numPr>
        <w:spacing w:after="60"/>
      </w:pPr>
      <w:r>
        <w:rPr>
          <w:rFonts w:ascii="Arial" w:eastAsia="Arial" w:hAnsi="Arial" w:cs="Arial"/>
        </w:rPr>
        <w:t>Panchamrit — Five Nectar Elements for India's Climate Action, COP26, November 2021.</w:t>
      </w:r>
    </w:p>
    <w:p w14:paraId="652011CE" w14:textId="77777777" w:rsidR="00E56E3B" w:rsidRDefault="009D7C2B">
      <w:pPr>
        <w:pStyle w:val="ListParagraph"/>
        <w:numPr>
          <w:ilvl w:val="0"/>
          <w:numId w:val="2"/>
        </w:numPr>
        <w:spacing w:after="60"/>
      </w:pPr>
      <w:r>
        <w:rPr>
          <w:rFonts w:ascii="Arial" w:eastAsia="Arial" w:hAnsi="Arial" w:cs="Arial"/>
        </w:rPr>
        <w:t>Long-Term Low Carbon Development Strategy (LT-LEDS), Government of India, COP27 2022.</w:t>
      </w:r>
    </w:p>
    <w:p w14:paraId="652011CF" w14:textId="77777777" w:rsidR="00E56E3B" w:rsidRDefault="009D7C2B">
      <w:pPr>
        <w:pStyle w:val="Heading2"/>
      </w:pPr>
      <w:bookmarkStart w:id="42" w:name="_Toc226561794"/>
      <w:r>
        <w:t>Brazil</w:t>
      </w:r>
      <w:bookmarkEnd w:id="42"/>
    </w:p>
    <w:p w14:paraId="652011D0" w14:textId="77777777" w:rsidR="00E56E3B" w:rsidRDefault="009D7C2B">
      <w:pPr>
        <w:pStyle w:val="ListParagraph"/>
        <w:numPr>
          <w:ilvl w:val="0"/>
          <w:numId w:val="2"/>
        </w:numPr>
        <w:spacing w:after="60"/>
      </w:pPr>
      <w:r>
        <w:rPr>
          <w:rFonts w:ascii="Arial" w:eastAsia="Arial" w:hAnsi="Arial" w:cs="Arial"/>
        </w:rPr>
        <w:t>Brazil Third Nationally Determined Contribution (NDC 3.0), UNFCCC, November 2024 (COP29).</w:t>
      </w:r>
    </w:p>
    <w:p w14:paraId="652011D1" w14:textId="77777777" w:rsidR="00E56E3B" w:rsidRDefault="009D7C2B">
      <w:pPr>
        <w:pStyle w:val="ListParagraph"/>
        <w:numPr>
          <w:ilvl w:val="0"/>
          <w:numId w:val="2"/>
        </w:numPr>
        <w:spacing w:after="60"/>
      </w:pPr>
      <w:r>
        <w:rPr>
          <w:rFonts w:ascii="Arial" w:eastAsia="Arial" w:hAnsi="Arial" w:cs="Arial"/>
        </w:rPr>
        <w:t>Nova Industria Brasil Programme, Ministry of Development, Industry, Commerce and Services, January 2024.</w:t>
      </w:r>
    </w:p>
    <w:p w14:paraId="652011D2" w14:textId="77777777" w:rsidR="00E56E3B" w:rsidRDefault="009D7C2B">
      <w:pPr>
        <w:pStyle w:val="ListParagraph"/>
        <w:numPr>
          <w:ilvl w:val="0"/>
          <w:numId w:val="2"/>
        </w:numPr>
        <w:spacing w:after="60"/>
      </w:pPr>
      <w:r>
        <w:rPr>
          <w:rFonts w:ascii="Arial" w:eastAsia="Arial" w:hAnsi="Arial" w:cs="Arial"/>
        </w:rPr>
        <w:t>PPCDAm — Action Plan for Prevention and Combat of Deforestation in the Amazon, 2023 revision.</w:t>
      </w:r>
    </w:p>
    <w:p w14:paraId="652011D3" w14:textId="77777777" w:rsidR="00E56E3B" w:rsidRDefault="009D7C2B">
      <w:pPr>
        <w:pStyle w:val="ListParagraph"/>
        <w:numPr>
          <w:ilvl w:val="0"/>
          <w:numId w:val="2"/>
        </w:numPr>
        <w:spacing w:after="60"/>
      </w:pPr>
      <w:r>
        <w:rPr>
          <w:rFonts w:ascii="Arial" w:eastAsia="Arial" w:hAnsi="Arial" w:cs="Arial"/>
        </w:rPr>
        <w:t>Brazil Energy Policy Review, International Energy Agency, 2024.</w:t>
      </w:r>
    </w:p>
    <w:p w14:paraId="652011D4" w14:textId="77777777" w:rsidR="00E56E3B" w:rsidRDefault="009D7C2B">
      <w:pPr>
        <w:pStyle w:val="Heading2"/>
      </w:pPr>
      <w:bookmarkStart w:id="43" w:name="_Toc226561795"/>
      <w:r>
        <w:t>Rest of Africa</w:t>
      </w:r>
      <w:bookmarkEnd w:id="43"/>
    </w:p>
    <w:p w14:paraId="652011D5" w14:textId="77777777" w:rsidR="00E56E3B" w:rsidRDefault="009D7C2B">
      <w:pPr>
        <w:pStyle w:val="ListParagraph"/>
        <w:numPr>
          <w:ilvl w:val="0"/>
          <w:numId w:val="2"/>
        </w:numPr>
        <w:spacing w:after="60"/>
      </w:pPr>
      <w:r>
        <w:rPr>
          <w:rFonts w:ascii="Arial" w:eastAsia="Arial" w:hAnsi="Arial" w:cs="Arial"/>
        </w:rPr>
        <w:t>African Leaders Nairobi Declaration on Climate Change, Africa Climate Summit, September 2023.</w:t>
      </w:r>
    </w:p>
    <w:p w14:paraId="652011D6" w14:textId="77777777" w:rsidR="00E56E3B" w:rsidRDefault="009D7C2B">
      <w:pPr>
        <w:pStyle w:val="ListParagraph"/>
        <w:numPr>
          <w:ilvl w:val="0"/>
          <w:numId w:val="2"/>
        </w:numPr>
        <w:spacing w:after="60"/>
      </w:pPr>
      <w:r>
        <w:rPr>
          <w:rFonts w:ascii="Arial" w:eastAsia="Arial" w:hAnsi="Arial" w:cs="Arial"/>
        </w:rPr>
        <w:t>Africa Renewable Energy Initiative (AREI) Progress Report, African Union Commission, 2023.</w:t>
      </w:r>
    </w:p>
    <w:p w14:paraId="652011D7" w14:textId="77777777" w:rsidR="00E56E3B" w:rsidRDefault="009D7C2B">
      <w:pPr>
        <w:pStyle w:val="ListParagraph"/>
        <w:numPr>
          <w:ilvl w:val="0"/>
          <w:numId w:val="2"/>
        </w:numPr>
        <w:spacing w:after="60"/>
      </w:pPr>
      <w:r>
        <w:rPr>
          <w:rFonts w:ascii="Arial" w:eastAsia="Arial" w:hAnsi="Arial" w:cs="Arial"/>
        </w:rPr>
        <w:t>Africa Energy Outlook 2022, International Energy Agency (with African Union Commission).</w:t>
      </w:r>
    </w:p>
    <w:p w14:paraId="652011D8" w14:textId="77777777" w:rsidR="00E56E3B" w:rsidRDefault="009D7C2B">
      <w:pPr>
        <w:pStyle w:val="ListParagraph"/>
        <w:numPr>
          <w:ilvl w:val="0"/>
          <w:numId w:val="2"/>
        </w:numPr>
        <w:spacing w:after="60"/>
      </w:pPr>
      <w:r>
        <w:rPr>
          <w:rFonts w:ascii="Arial" w:eastAsia="Arial" w:hAnsi="Arial" w:cs="Arial"/>
        </w:rPr>
        <w:t>Mission 300 Africa Energy Access Programme, World Bank Group and African Development Bank, 2024.</w:t>
      </w:r>
    </w:p>
    <w:p w14:paraId="652011D9" w14:textId="77777777" w:rsidR="00E56E3B" w:rsidRDefault="009D7C2B">
      <w:pPr>
        <w:pStyle w:val="Heading2"/>
      </w:pPr>
      <w:bookmarkStart w:id="44" w:name="_Toc226561796"/>
      <w:r>
        <w:t>Rest of Middle East</w:t>
      </w:r>
      <w:bookmarkEnd w:id="44"/>
    </w:p>
    <w:p w14:paraId="652011DA" w14:textId="77777777" w:rsidR="00E56E3B" w:rsidRDefault="009D7C2B">
      <w:pPr>
        <w:pStyle w:val="ListParagraph"/>
        <w:numPr>
          <w:ilvl w:val="0"/>
          <w:numId w:val="2"/>
        </w:numPr>
        <w:spacing w:after="60"/>
      </w:pPr>
      <w:r>
        <w:rPr>
          <w:rFonts w:ascii="Arial" w:eastAsia="Arial" w:hAnsi="Arial" w:cs="Arial"/>
        </w:rPr>
        <w:t>Saudi Arabia Vision 2030 — Renewable Energy Targets, Ministry of Energy, Kingdom of Saudi Arabia, 2023.</w:t>
      </w:r>
    </w:p>
    <w:p w14:paraId="652011DB" w14:textId="77777777" w:rsidR="00E56E3B" w:rsidRDefault="009D7C2B">
      <w:pPr>
        <w:pStyle w:val="ListParagraph"/>
        <w:numPr>
          <w:ilvl w:val="0"/>
          <w:numId w:val="2"/>
        </w:numPr>
        <w:spacing w:after="60"/>
      </w:pPr>
      <w:r>
        <w:rPr>
          <w:rFonts w:ascii="Arial" w:eastAsia="Arial" w:hAnsi="Arial" w:cs="Arial"/>
        </w:rPr>
        <w:t>UAE Net Zero 2050 National Strategy, UAE Government, 2021 (reaffirmed COP28 2023).</w:t>
      </w:r>
    </w:p>
    <w:p w14:paraId="652011DC" w14:textId="77777777" w:rsidR="00E56E3B" w:rsidRDefault="009D7C2B">
      <w:pPr>
        <w:pStyle w:val="ListParagraph"/>
        <w:numPr>
          <w:ilvl w:val="0"/>
          <w:numId w:val="2"/>
        </w:numPr>
        <w:spacing w:after="60"/>
      </w:pPr>
      <w:r>
        <w:rPr>
          <w:rFonts w:ascii="Arial" w:eastAsia="Arial" w:hAnsi="Arial" w:cs="Arial"/>
        </w:rPr>
        <w:t>Qatar National Vision 2030 — Energy and Environment, Ministry of Planning and Statistics, Qatar.</w:t>
      </w:r>
    </w:p>
    <w:p w14:paraId="652011DD" w14:textId="77777777" w:rsidR="00E56E3B" w:rsidRDefault="009D7C2B">
      <w:pPr>
        <w:pStyle w:val="ListParagraph"/>
        <w:numPr>
          <w:ilvl w:val="0"/>
          <w:numId w:val="2"/>
        </w:numPr>
        <w:spacing w:after="60"/>
      </w:pPr>
      <w:r>
        <w:rPr>
          <w:rFonts w:ascii="Arial" w:eastAsia="Arial" w:hAnsi="Arial" w:cs="Arial"/>
        </w:rPr>
        <w:t>Oman Vision 2040 Energy Sector Targets, Authority for Public Services and Regulatory Affairs, Oman.</w:t>
      </w:r>
    </w:p>
    <w:p w14:paraId="652011DE" w14:textId="77777777" w:rsidR="00E56E3B" w:rsidRDefault="009D7C2B">
      <w:pPr>
        <w:pStyle w:val="ListParagraph"/>
        <w:numPr>
          <w:ilvl w:val="0"/>
          <w:numId w:val="2"/>
        </w:numPr>
        <w:spacing w:after="60"/>
      </w:pPr>
      <w:r>
        <w:rPr>
          <w:rFonts w:ascii="Arial" w:eastAsia="Arial" w:hAnsi="Arial" w:cs="Arial"/>
        </w:rPr>
        <w:t>The UAE Consensus — COP28 Global Stocktake Outcome, UNFCCC, December 2023.</w:t>
      </w:r>
    </w:p>
    <w:p w14:paraId="652011DF" w14:textId="77777777" w:rsidR="00E56E3B" w:rsidRDefault="009D7C2B">
      <w:pPr>
        <w:pStyle w:val="ListParagraph"/>
        <w:numPr>
          <w:ilvl w:val="0"/>
          <w:numId w:val="2"/>
        </w:numPr>
        <w:spacing w:after="60"/>
      </w:pPr>
      <w:r>
        <w:rPr>
          <w:rFonts w:ascii="Arial" w:eastAsia="Arial" w:hAnsi="Arial" w:cs="Arial"/>
        </w:rPr>
        <w:t>MENA Renewable Energy Outlook, International Renewable Energy Agency (IRENA), 2023.</w:t>
      </w:r>
    </w:p>
    <w:p w14:paraId="652011E0" w14:textId="77777777" w:rsidR="00E56E3B" w:rsidRDefault="009D7C2B">
      <w:pPr>
        <w:pStyle w:val="Heading2"/>
      </w:pPr>
      <w:bookmarkStart w:id="45" w:name="_Toc226561797"/>
      <w:r>
        <w:t>Modelling Methodology</w:t>
      </w:r>
      <w:bookmarkEnd w:id="45"/>
    </w:p>
    <w:p w14:paraId="652011E1" w14:textId="77777777" w:rsidR="00E56E3B" w:rsidRDefault="009D7C2B">
      <w:pPr>
        <w:pStyle w:val="ListParagraph"/>
        <w:numPr>
          <w:ilvl w:val="0"/>
          <w:numId w:val="2"/>
        </w:numPr>
        <w:spacing w:after="60"/>
      </w:pPr>
      <w:r>
        <w:rPr>
          <w:rFonts w:ascii="Arial" w:eastAsia="Arial" w:hAnsi="Arial" w:cs="Arial"/>
        </w:rPr>
        <w:t>Cazcarro, I. et al., MARIO: Multi-Regional Input-Output python library, Journal of Open Source Software, 2022.</w:t>
      </w:r>
    </w:p>
    <w:p w14:paraId="652011E2" w14:textId="77777777" w:rsidR="00E56E3B" w:rsidRDefault="009D7C2B">
      <w:pPr>
        <w:pStyle w:val="ListParagraph"/>
        <w:numPr>
          <w:ilvl w:val="0"/>
          <w:numId w:val="2"/>
        </w:numPr>
        <w:spacing w:after="60"/>
      </w:pPr>
      <w:r>
        <w:rPr>
          <w:rFonts w:ascii="Arial" w:eastAsia="Arial" w:hAnsi="Arial" w:cs="Arial"/>
        </w:rPr>
        <w:t>Exiobase 3 — A Detailed Environmentally Extended Multi-Regional Input-Output Table, Journal of Industrial Ecology, Stadler et al., 2018.</w:t>
      </w:r>
    </w:p>
    <w:p w14:paraId="652011E3" w14:textId="77777777" w:rsidR="00E56E3B" w:rsidRDefault="009D7C2B">
      <w:pPr>
        <w:pStyle w:val="ListParagraph"/>
        <w:numPr>
          <w:ilvl w:val="0"/>
          <w:numId w:val="2"/>
        </w:numPr>
        <w:spacing w:after="60"/>
      </w:pPr>
      <w:r>
        <w:rPr>
          <w:rFonts w:ascii="Arial" w:eastAsia="Arial" w:hAnsi="Arial" w:cs="Arial"/>
        </w:rPr>
        <w:t>Wood, R. et al., Global Sustainability Accounting — Developing EXIOBASE for Multi-Regional Footprint Analysis, Sustainability, 2015.</w:t>
      </w:r>
    </w:p>
    <w:sectPr w:rsidR="00E56E3B">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011EA" w14:textId="77777777" w:rsidR="009D7C2B" w:rsidRDefault="009D7C2B">
      <w:r>
        <w:separator/>
      </w:r>
    </w:p>
  </w:endnote>
  <w:endnote w:type="continuationSeparator" w:id="0">
    <w:p w14:paraId="652011EC" w14:textId="77777777" w:rsidR="009D7C2B" w:rsidRDefault="009D7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011E5" w14:textId="3236C253" w:rsidR="00E56E3B" w:rsidRDefault="009D7C2B">
    <w:pPr>
      <w:pBdr>
        <w:top w:val="single" w:sz="4" w:space="4" w:color="CCCCCC"/>
      </w:pBdr>
    </w:pPr>
    <w:r>
      <w:rPr>
        <w:rFonts w:ascii="Arial" w:eastAsia="Arial" w:hAnsi="Arial" w:cs="Arial"/>
        <w:color w:val="666666"/>
        <w:sz w:val="18"/>
        <w:szCs w:val="18"/>
      </w:rPr>
      <w:t xml:space="preserve">     </w:t>
    </w:r>
    <w:r>
      <w:rPr>
        <w:rFonts w:ascii="Arial" w:eastAsia="Arial" w:hAnsi="Arial" w:cs="Arial"/>
        <w:color w:val="666666"/>
        <w:sz w:val="18"/>
        <w:szCs w:val="18"/>
      </w:rPr>
      <w:tab/>
    </w:r>
    <w:r>
      <w:rPr>
        <w:rFonts w:ascii="Arial" w:eastAsia="Arial" w:hAnsi="Arial" w:cs="Arial"/>
        <w:color w:val="666666"/>
        <w:sz w:val="18"/>
        <w:szCs w:val="18"/>
      </w:rPr>
      <w:fldChar w:fldCharType="begin"/>
    </w:r>
    <w:r>
      <w:rPr>
        <w:rFonts w:ascii="Arial" w:eastAsia="Arial" w:hAnsi="Arial" w:cs="Arial"/>
        <w:color w:val="666666"/>
        <w:sz w:val="18"/>
        <w:szCs w:val="18"/>
      </w:rPr>
      <w:instrText>PAGE</w:instrText>
    </w:r>
    <w:r>
      <w:rPr>
        <w:rFonts w:ascii="Arial" w:eastAsia="Arial" w:hAnsi="Arial" w:cs="Arial"/>
        <w:color w:val="666666"/>
        <w:sz w:val="18"/>
        <w:szCs w:val="18"/>
      </w:rPr>
      <w:fldChar w:fldCharType="separate"/>
    </w:r>
    <w:r>
      <w:rPr>
        <w:rFonts w:ascii="Arial" w:eastAsia="Arial" w:hAnsi="Arial" w:cs="Arial"/>
        <w:noProof/>
        <w:color w:val="666666"/>
        <w:sz w:val="18"/>
        <w:szCs w:val="18"/>
      </w:rPr>
      <w:t>1</w:t>
    </w:r>
    <w:r>
      <w:rPr>
        <w:rFonts w:ascii="Arial" w:eastAsia="Arial" w:hAnsi="Arial" w:cs="Arial"/>
        <w:color w:val="666666"/>
        <w:sz w:val="18"/>
        <w:szCs w:val="18"/>
      </w:rPr>
      <w:fldChar w:fldCharType="end"/>
    </w:r>
    <w:r>
      <w:rPr>
        <w:rFonts w:ascii="Arial" w:eastAsia="Arial" w:hAnsi="Arial" w:cs="Arial"/>
        <w:color w:val="666666"/>
        <w:sz w:val="18"/>
        <w:szCs w:val="18"/>
      </w:rPr>
      <w:t xml:space="preserve"> / </w:t>
    </w:r>
    <w:r>
      <w:rPr>
        <w:rFonts w:ascii="Arial" w:eastAsia="Arial" w:hAnsi="Arial" w:cs="Arial"/>
        <w:color w:val="666666"/>
        <w:sz w:val="18"/>
        <w:szCs w:val="18"/>
      </w:rPr>
      <w:fldChar w:fldCharType="begin"/>
    </w:r>
    <w:r>
      <w:rPr>
        <w:rFonts w:ascii="Arial" w:eastAsia="Arial" w:hAnsi="Arial" w:cs="Arial"/>
        <w:color w:val="666666"/>
        <w:sz w:val="18"/>
        <w:szCs w:val="18"/>
      </w:rPr>
      <w:instrText>NUMPAGES</w:instrText>
    </w:r>
    <w:r>
      <w:rPr>
        <w:rFonts w:ascii="Arial" w:eastAsia="Arial" w:hAnsi="Arial" w:cs="Arial"/>
        <w:color w:val="666666"/>
        <w:sz w:val="18"/>
        <w:szCs w:val="18"/>
      </w:rPr>
      <w:fldChar w:fldCharType="separate"/>
    </w:r>
    <w:r>
      <w:rPr>
        <w:rFonts w:ascii="Arial" w:eastAsia="Arial" w:hAnsi="Arial" w:cs="Arial"/>
        <w:noProof/>
        <w:color w:val="666666"/>
        <w:sz w:val="18"/>
        <w:szCs w:val="18"/>
      </w:rPr>
      <w:t>1</w:t>
    </w:r>
    <w:r>
      <w:rPr>
        <w:rFonts w:ascii="Arial" w:eastAsia="Arial" w:hAnsi="Arial" w:cs="Arial"/>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011E6" w14:textId="77777777" w:rsidR="009D7C2B" w:rsidRDefault="009D7C2B">
      <w:r>
        <w:separator/>
      </w:r>
    </w:p>
  </w:footnote>
  <w:footnote w:type="continuationSeparator" w:id="0">
    <w:p w14:paraId="652011E8" w14:textId="77777777" w:rsidR="009D7C2B" w:rsidRDefault="009D7C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011E4" w14:textId="6E596450" w:rsidR="00E56E3B" w:rsidRDefault="009D7C2B">
    <w:pPr>
      <w:pBdr>
        <w:bottom w:val="single" w:sz="6" w:space="4" w:color="2E5FA3"/>
      </w:pBdr>
    </w:pPr>
    <w:r>
      <w:rPr>
        <w:rFonts w:ascii="Arial" w:eastAsia="Arial" w:hAnsi="Arial" w:cs="Arial"/>
        <w:i/>
        <w:iCs/>
        <w:color w:val="666666"/>
        <w:sz w:val="18"/>
        <w:szCs w:val="18"/>
      </w:rPr>
      <w:t>Energy Transition Scenario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10CA9"/>
    <w:multiLevelType w:val="hybridMultilevel"/>
    <w:tmpl w:val="E1088DF8"/>
    <w:lvl w:ilvl="0" w:tplc="E3E6706C">
      <w:start w:val="1"/>
      <w:numFmt w:val="bullet"/>
      <w:lvlText w:val="●"/>
      <w:lvlJc w:val="left"/>
      <w:pPr>
        <w:ind w:left="720" w:hanging="360"/>
      </w:pPr>
    </w:lvl>
    <w:lvl w:ilvl="1" w:tplc="5D8AF328">
      <w:start w:val="1"/>
      <w:numFmt w:val="bullet"/>
      <w:lvlText w:val="○"/>
      <w:lvlJc w:val="left"/>
      <w:pPr>
        <w:ind w:left="1440" w:hanging="360"/>
      </w:pPr>
    </w:lvl>
    <w:lvl w:ilvl="2" w:tplc="0CB616D4">
      <w:start w:val="1"/>
      <w:numFmt w:val="bullet"/>
      <w:lvlText w:val="■"/>
      <w:lvlJc w:val="left"/>
      <w:pPr>
        <w:ind w:left="2160" w:hanging="360"/>
      </w:pPr>
    </w:lvl>
    <w:lvl w:ilvl="3" w:tplc="307A3A72">
      <w:start w:val="1"/>
      <w:numFmt w:val="bullet"/>
      <w:lvlText w:val="●"/>
      <w:lvlJc w:val="left"/>
      <w:pPr>
        <w:ind w:left="2880" w:hanging="360"/>
      </w:pPr>
    </w:lvl>
    <w:lvl w:ilvl="4" w:tplc="A0A0988C">
      <w:start w:val="1"/>
      <w:numFmt w:val="bullet"/>
      <w:lvlText w:val="○"/>
      <w:lvlJc w:val="left"/>
      <w:pPr>
        <w:ind w:left="3600" w:hanging="360"/>
      </w:pPr>
    </w:lvl>
    <w:lvl w:ilvl="5" w:tplc="A7305972">
      <w:start w:val="1"/>
      <w:numFmt w:val="bullet"/>
      <w:lvlText w:val="■"/>
      <w:lvlJc w:val="left"/>
      <w:pPr>
        <w:ind w:left="4320" w:hanging="360"/>
      </w:pPr>
    </w:lvl>
    <w:lvl w:ilvl="6" w:tplc="075217AE">
      <w:start w:val="1"/>
      <w:numFmt w:val="bullet"/>
      <w:lvlText w:val="●"/>
      <w:lvlJc w:val="left"/>
      <w:pPr>
        <w:ind w:left="5040" w:hanging="360"/>
      </w:pPr>
    </w:lvl>
    <w:lvl w:ilvl="7" w:tplc="D0A252E0">
      <w:start w:val="1"/>
      <w:numFmt w:val="bullet"/>
      <w:lvlText w:val="●"/>
      <w:lvlJc w:val="left"/>
      <w:pPr>
        <w:ind w:left="5760" w:hanging="360"/>
      </w:pPr>
    </w:lvl>
    <w:lvl w:ilvl="8" w:tplc="D22EB176">
      <w:start w:val="1"/>
      <w:numFmt w:val="bullet"/>
      <w:lvlText w:val="●"/>
      <w:lvlJc w:val="left"/>
      <w:pPr>
        <w:ind w:left="6480" w:hanging="360"/>
      </w:pPr>
    </w:lvl>
  </w:abstractNum>
  <w:abstractNum w:abstractNumId="1" w15:restartNumberingAfterBreak="0">
    <w:nsid w:val="7E067706"/>
    <w:multiLevelType w:val="hybridMultilevel"/>
    <w:tmpl w:val="F02EA086"/>
    <w:lvl w:ilvl="0" w:tplc="A6D49EDC">
      <w:start w:val="1"/>
      <w:numFmt w:val="bullet"/>
      <w:lvlText w:val="•"/>
      <w:lvlJc w:val="left"/>
      <w:pPr>
        <w:ind w:left="720" w:hanging="360"/>
      </w:pPr>
      <w:rPr>
        <w:rFonts w:ascii="Arial" w:eastAsia="Arial" w:hAnsi="Arial" w:cs="Arial"/>
        <w:sz w:val="22"/>
        <w:szCs w:val="22"/>
      </w:rPr>
    </w:lvl>
    <w:lvl w:ilvl="1" w:tplc="DBACDE3C">
      <w:start w:val="1"/>
      <w:numFmt w:val="bullet"/>
      <w:lvlText w:val="◦"/>
      <w:lvlJc w:val="left"/>
      <w:pPr>
        <w:ind w:left="1080" w:hanging="360"/>
      </w:pPr>
      <w:rPr>
        <w:rFonts w:ascii="Arial" w:eastAsia="Arial" w:hAnsi="Arial" w:cs="Arial"/>
        <w:sz w:val="22"/>
        <w:szCs w:val="22"/>
      </w:rPr>
    </w:lvl>
    <w:lvl w:ilvl="2" w:tplc="58844956">
      <w:numFmt w:val="decimal"/>
      <w:lvlText w:val=""/>
      <w:lvlJc w:val="left"/>
    </w:lvl>
    <w:lvl w:ilvl="3" w:tplc="EDA0CD1E">
      <w:numFmt w:val="decimal"/>
      <w:lvlText w:val=""/>
      <w:lvlJc w:val="left"/>
    </w:lvl>
    <w:lvl w:ilvl="4" w:tplc="70C6C0AC">
      <w:numFmt w:val="decimal"/>
      <w:lvlText w:val=""/>
      <w:lvlJc w:val="left"/>
    </w:lvl>
    <w:lvl w:ilvl="5" w:tplc="416E66A4">
      <w:numFmt w:val="decimal"/>
      <w:lvlText w:val=""/>
      <w:lvlJc w:val="left"/>
    </w:lvl>
    <w:lvl w:ilvl="6" w:tplc="38300D40">
      <w:numFmt w:val="decimal"/>
      <w:lvlText w:val=""/>
      <w:lvlJc w:val="left"/>
    </w:lvl>
    <w:lvl w:ilvl="7" w:tplc="A49EB74A">
      <w:numFmt w:val="decimal"/>
      <w:lvlText w:val=""/>
      <w:lvlJc w:val="left"/>
    </w:lvl>
    <w:lvl w:ilvl="8" w:tplc="21E4A7D8">
      <w:numFmt w:val="decimal"/>
      <w:lvlText w:val=""/>
      <w:lvlJc w:val="left"/>
    </w:lvl>
  </w:abstractNum>
  <w:num w:numId="1" w16cid:durableId="1345204557">
    <w:abstractNumId w:val="0"/>
    <w:lvlOverride w:ilvl="0">
      <w:startOverride w:val="1"/>
    </w:lvlOverride>
  </w:num>
  <w:num w:numId="2" w16cid:durableId="1824804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E3B"/>
    <w:rsid w:val="009D7C2B"/>
    <w:rsid w:val="00E56E3B"/>
    <w:rsid w:val="00E75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00EBB"/>
  <w15:docId w15:val="{8F7B7686-D002-4755-AAB3-43C834517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Arial" w:eastAsia="Arial" w:hAnsi="Arial" w:cs="Arial"/>
      <w:b/>
      <w:bCs/>
      <w:color w:val="2E5FA3"/>
      <w:sz w:val="32"/>
      <w:szCs w:val="32"/>
    </w:rPr>
  </w:style>
  <w:style w:type="paragraph" w:styleId="Heading2">
    <w:name w:val="heading 2"/>
    <w:uiPriority w:val="9"/>
    <w:unhideWhenUsed/>
    <w:qFormat/>
    <w:pPr>
      <w:spacing w:before="280" w:after="80"/>
      <w:outlineLvl w:val="1"/>
    </w:pPr>
    <w:rPr>
      <w:rFonts w:ascii="Arial" w:eastAsia="Arial" w:hAnsi="Arial" w:cs="Arial"/>
      <w:b/>
      <w:bCs/>
      <w:color w:val="333333"/>
      <w:sz w:val="28"/>
      <w:szCs w:val="28"/>
    </w:rPr>
  </w:style>
  <w:style w:type="paragraph" w:styleId="Heading3">
    <w:name w:val="heading 3"/>
    <w:uiPriority w:val="9"/>
    <w:semiHidden/>
    <w:unhideWhenUsed/>
    <w:qFormat/>
    <w:pPr>
      <w:spacing w:before="200" w:after="60"/>
      <w:outlineLvl w:val="2"/>
    </w:pPr>
    <w:rPr>
      <w:rFonts w:ascii="Arial" w:eastAsia="Arial" w:hAnsi="Arial" w:cs="Arial"/>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D7C2B"/>
    <w:pPr>
      <w:spacing w:after="100"/>
    </w:pPr>
  </w:style>
  <w:style w:type="paragraph" w:styleId="TOC2">
    <w:name w:val="toc 2"/>
    <w:basedOn w:val="Normal"/>
    <w:next w:val="Normal"/>
    <w:autoRedefine/>
    <w:uiPriority w:val="39"/>
    <w:unhideWhenUsed/>
    <w:rsid w:val="009D7C2B"/>
    <w:pPr>
      <w:spacing w:after="100"/>
      <w:ind w:left="200"/>
    </w:pPr>
  </w:style>
  <w:style w:type="paragraph" w:styleId="Header">
    <w:name w:val="header"/>
    <w:basedOn w:val="Normal"/>
    <w:link w:val="HeaderChar"/>
    <w:uiPriority w:val="99"/>
    <w:unhideWhenUsed/>
    <w:rsid w:val="009D7C2B"/>
    <w:pPr>
      <w:tabs>
        <w:tab w:val="center" w:pos="4680"/>
        <w:tab w:val="right" w:pos="9360"/>
      </w:tabs>
    </w:pPr>
  </w:style>
  <w:style w:type="character" w:customStyle="1" w:styleId="HeaderChar">
    <w:name w:val="Header Char"/>
    <w:basedOn w:val="DefaultParagraphFont"/>
    <w:link w:val="Header"/>
    <w:uiPriority w:val="99"/>
    <w:rsid w:val="009D7C2B"/>
  </w:style>
  <w:style w:type="paragraph" w:styleId="Footer">
    <w:name w:val="footer"/>
    <w:basedOn w:val="Normal"/>
    <w:link w:val="FooterChar"/>
    <w:uiPriority w:val="99"/>
    <w:unhideWhenUsed/>
    <w:rsid w:val="009D7C2B"/>
    <w:pPr>
      <w:tabs>
        <w:tab w:val="center" w:pos="4680"/>
        <w:tab w:val="right" w:pos="9360"/>
      </w:tabs>
    </w:pPr>
  </w:style>
  <w:style w:type="character" w:customStyle="1" w:styleId="FooterChar">
    <w:name w:val="Footer Char"/>
    <w:basedOn w:val="DefaultParagraphFont"/>
    <w:link w:val="Footer"/>
    <w:uiPriority w:val="99"/>
    <w:rsid w:val="009D7C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53c703163abf5028ca1572cdbbdfb0d9">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91aa92df09b3f9a6477c84a51e3c941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756E1A-E234-4F5E-A6D7-259AB8253B86}">
  <ds:schemaRefs>
    <ds:schemaRef ds:uri="http://schemas.microsoft.com/office/2006/metadata/properties"/>
    <ds:schemaRef ds:uri="http://schemas.microsoft.com/office/infopath/2007/PartnerControls"/>
    <ds:schemaRef ds:uri="c8670835-afc4-4376-8ae0-1ffed5b27e6b"/>
    <ds:schemaRef ds:uri="b0bf4113-6f4a-4f3e-b5bb-503c4d9102e3"/>
  </ds:schemaRefs>
</ds:datastoreItem>
</file>

<file path=customXml/itemProps2.xml><?xml version="1.0" encoding="utf-8"?>
<ds:datastoreItem xmlns:ds="http://schemas.openxmlformats.org/officeDocument/2006/customXml" ds:itemID="{0DF47264-76F0-446B-9069-8121751C8CCC}">
  <ds:schemaRefs>
    <ds:schemaRef ds:uri="http://schemas.microsoft.com/sharepoint/v3/contenttype/forms"/>
  </ds:schemaRefs>
</ds:datastoreItem>
</file>

<file path=customXml/itemProps3.xml><?xml version="1.0" encoding="utf-8"?>
<ds:datastoreItem xmlns:ds="http://schemas.openxmlformats.org/officeDocument/2006/customXml" ds:itemID="{E0979B02-8BAB-4F6E-A649-C2E113F99AB2}"/>
</file>

<file path=docProps/app.xml><?xml version="1.0" encoding="utf-8"?>
<Properties xmlns="http://schemas.openxmlformats.org/officeDocument/2006/extended-properties" xmlns:vt="http://schemas.openxmlformats.org/officeDocument/2006/docPropsVTypes">
  <Template>Normal</Template>
  <TotalTime>0</TotalTime>
  <Pages>18</Pages>
  <Words>4632</Words>
  <Characters>26593</Characters>
  <Application>Microsoft Office Word</Application>
  <DocSecurity>0</DocSecurity>
  <Lines>1022</Lines>
  <Paragraphs>800</Paragraphs>
  <ScaleCrop>false</ScaleCrop>
  <Company/>
  <LinksUpToDate>false</LinksUpToDate>
  <CharactersWithSpaces>30425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UNDP SEH</cp:lastModifiedBy>
  <cp:revision>2</cp:revision>
  <dcterms:created xsi:type="dcterms:W3CDTF">2026-04-08T20:10:00Z</dcterms:created>
  <dcterms:modified xsi:type="dcterms:W3CDTF">2026-04-08T21:29:00Z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ies>
</file>