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7F33" w14:paraId="414373B6" w14:textId="77777777" w:rsidTr="006B7F33">
        <w:tc>
          <w:tcPr>
            <w:tcW w:w="2335" w:type="dxa"/>
          </w:tcPr>
          <w:p w14:paraId="4AE5C6A7" w14:textId="18622594" w:rsidR="006B7F33" w:rsidRPr="00C555C1" w:rsidRDefault="006B7F33" w:rsidP="00C555C1">
            <w:pPr>
              <w:jc w:val="center"/>
              <w:rPr>
                <w:b/>
                <w:bCs/>
                <w:highlight w:val="green"/>
              </w:rPr>
            </w:pPr>
            <w:proofErr w:type="spellStart"/>
            <w:proofErr w:type="gramStart"/>
            <w:r w:rsidRPr="00C555C1">
              <w:rPr>
                <w:b/>
                <w:bCs/>
                <w:highlight w:val="green"/>
              </w:rPr>
              <w:t>Tham</w:t>
            </w:r>
            <w:proofErr w:type="spellEnd"/>
            <w:r w:rsidRPr="00C555C1">
              <w:rPr>
                <w:b/>
                <w:bCs/>
                <w:highlight w:val="green"/>
              </w:rPr>
              <w:t xml:space="preserve">  </w:t>
            </w:r>
            <w:proofErr w:type="spellStart"/>
            <w:r w:rsidRPr="00C555C1">
              <w:rPr>
                <w:b/>
                <w:bCs/>
                <w:highlight w:val="green"/>
              </w:rPr>
              <w:t>số</w:t>
            </w:r>
            <w:proofErr w:type="spellEnd"/>
            <w:proofErr w:type="gramEnd"/>
          </w:p>
        </w:tc>
        <w:tc>
          <w:tcPr>
            <w:tcW w:w="7015" w:type="dxa"/>
          </w:tcPr>
          <w:p w14:paraId="6C02C4C4" w14:textId="01D96573" w:rsidR="006B7F33" w:rsidRPr="00C555C1" w:rsidRDefault="006B7F33" w:rsidP="00C555C1">
            <w:pPr>
              <w:jc w:val="center"/>
              <w:rPr>
                <w:b/>
                <w:bCs/>
                <w:color w:val="A8D08D" w:themeColor="accent6" w:themeTint="99"/>
                <w:highlight w:val="green"/>
              </w:rPr>
            </w:pPr>
            <w:proofErr w:type="spellStart"/>
            <w:r w:rsidRPr="00C555C1">
              <w:rPr>
                <w:b/>
                <w:bCs/>
                <w:highlight w:val="green"/>
              </w:rPr>
              <w:t>Mô</w:t>
            </w:r>
            <w:proofErr w:type="spellEnd"/>
            <w:r w:rsidRPr="00C555C1">
              <w:rPr>
                <w:b/>
                <w:bCs/>
                <w:highlight w:val="green"/>
              </w:rPr>
              <w:t xml:space="preserve"> </w:t>
            </w:r>
            <w:proofErr w:type="spellStart"/>
            <w:r w:rsidRPr="00C555C1">
              <w:rPr>
                <w:b/>
                <w:bCs/>
                <w:highlight w:val="green"/>
              </w:rPr>
              <w:t>tả</w:t>
            </w:r>
            <w:proofErr w:type="spellEnd"/>
          </w:p>
        </w:tc>
      </w:tr>
      <w:tr w:rsidR="006B7F33" w14:paraId="5347D6DC" w14:textId="77777777" w:rsidTr="006B7F33">
        <w:tc>
          <w:tcPr>
            <w:tcW w:w="2335" w:type="dxa"/>
          </w:tcPr>
          <w:p w14:paraId="53BAE528" w14:textId="2E1A42C7" w:rsidR="006B7F33" w:rsidRDefault="006B7F33"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&lt;invoke&gt;</w:t>
            </w:r>
          </w:p>
        </w:tc>
        <w:tc>
          <w:tcPr>
            <w:tcW w:w="7015" w:type="dxa"/>
          </w:tcPr>
          <w:p w14:paraId="43F619C8" w14:textId="41AB1525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Invoking other Web services</w:t>
            </w:r>
          </w:p>
        </w:tc>
      </w:tr>
      <w:tr w:rsidR="006B7F33" w14:paraId="08EF6C12" w14:textId="77777777" w:rsidTr="006B7F33">
        <w:tc>
          <w:tcPr>
            <w:tcW w:w="2335" w:type="dxa"/>
          </w:tcPr>
          <w:p w14:paraId="060AA186" w14:textId="78DF3726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&lt;receive&gt;</w:t>
            </w:r>
          </w:p>
        </w:tc>
        <w:tc>
          <w:tcPr>
            <w:tcW w:w="7015" w:type="dxa"/>
          </w:tcPr>
          <w:p w14:paraId="60E33EDC" w14:textId="5991F673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Waiting for the client to invoke the business process by sending a message</w:t>
            </w:r>
          </w:p>
        </w:tc>
      </w:tr>
      <w:tr w:rsidR="006B7F33" w14:paraId="76EC315B" w14:textId="77777777" w:rsidTr="006B7F33">
        <w:tc>
          <w:tcPr>
            <w:tcW w:w="2335" w:type="dxa"/>
          </w:tcPr>
          <w:p w14:paraId="6411A276" w14:textId="1D6309BD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&lt;reply&gt;</w:t>
            </w:r>
          </w:p>
        </w:tc>
        <w:tc>
          <w:tcPr>
            <w:tcW w:w="7015" w:type="dxa"/>
          </w:tcPr>
          <w:p w14:paraId="1392845A" w14:textId="6BF554F8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Generating a response for synchronous operations</w:t>
            </w:r>
          </w:p>
        </w:tc>
      </w:tr>
      <w:tr w:rsidR="006B7F33" w14:paraId="49CD33E3" w14:textId="77777777" w:rsidTr="006B7F33">
        <w:tc>
          <w:tcPr>
            <w:tcW w:w="2335" w:type="dxa"/>
          </w:tcPr>
          <w:p w14:paraId="5E2E66E5" w14:textId="7E66A905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&lt;assign&gt;</w:t>
            </w:r>
          </w:p>
        </w:tc>
        <w:tc>
          <w:tcPr>
            <w:tcW w:w="7015" w:type="dxa"/>
          </w:tcPr>
          <w:p w14:paraId="352E3C54" w14:textId="7D0863F8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Manipulating data variables</w:t>
            </w:r>
          </w:p>
        </w:tc>
      </w:tr>
      <w:tr w:rsidR="006B7F33" w14:paraId="7C6F5172" w14:textId="77777777" w:rsidTr="006B7F33">
        <w:tc>
          <w:tcPr>
            <w:tcW w:w="2335" w:type="dxa"/>
          </w:tcPr>
          <w:p w14:paraId="79B06DF5" w14:textId="2DBC195B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&lt;throw&gt;</w:t>
            </w:r>
          </w:p>
        </w:tc>
        <w:tc>
          <w:tcPr>
            <w:tcW w:w="7015" w:type="dxa"/>
          </w:tcPr>
          <w:p w14:paraId="0077511C" w14:textId="25FE7CC5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Indicating faults and exceptions</w:t>
            </w:r>
          </w:p>
        </w:tc>
      </w:tr>
      <w:tr w:rsidR="006B7F33" w14:paraId="7AD9839C" w14:textId="77777777" w:rsidTr="006B7F33">
        <w:tc>
          <w:tcPr>
            <w:tcW w:w="2335" w:type="dxa"/>
          </w:tcPr>
          <w:p w14:paraId="46A8764E" w14:textId="2A331A9E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&lt;wait&gt;</w:t>
            </w:r>
          </w:p>
        </w:tc>
        <w:tc>
          <w:tcPr>
            <w:tcW w:w="7015" w:type="dxa"/>
          </w:tcPr>
          <w:p w14:paraId="47CF681A" w14:textId="1A30CF27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Waiting for some time</w:t>
            </w:r>
          </w:p>
        </w:tc>
      </w:tr>
      <w:tr w:rsidR="006B7F33" w14:paraId="67E24A0E" w14:textId="77777777" w:rsidTr="006B7F33">
        <w:tc>
          <w:tcPr>
            <w:tcW w:w="2335" w:type="dxa"/>
          </w:tcPr>
          <w:p w14:paraId="7910719E" w14:textId="4306F143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&lt;terminate&gt;</w:t>
            </w:r>
          </w:p>
        </w:tc>
        <w:tc>
          <w:tcPr>
            <w:tcW w:w="7015" w:type="dxa"/>
          </w:tcPr>
          <w:p w14:paraId="06E3AFF7" w14:textId="3BE02518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Terminating the entire process</w:t>
            </w:r>
          </w:p>
        </w:tc>
      </w:tr>
      <w:tr w:rsidR="006B7F33" w14:paraId="095CFEB0" w14:textId="77777777" w:rsidTr="006B7F33">
        <w:tc>
          <w:tcPr>
            <w:tcW w:w="2335" w:type="dxa"/>
          </w:tcPr>
          <w:p w14:paraId="618A4AEC" w14:textId="374DE989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&lt;sequence&gt;</w:t>
            </w:r>
          </w:p>
        </w:tc>
        <w:tc>
          <w:tcPr>
            <w:tcW w:w="7015" w:type="dxa"/>
          </w:tcPr>
          <w:p w14:paraId="1169227E" w14:textId="7194379A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W</w:t>
            </w: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hich allows us definition of a set of activities that will be invoked in an ordered sequence</w:t>
            </w:r>
          </w:p>
        </w:tc>
      </w:tr>
      <w:tr w:rsidR="006B7F33" w14:paraId="39A37C2B" w14:textId="77777777" w:rsidTr="006B7F33">
        <w:tc>
          <w:tcPr>
            <w:tcW w:w="2335" w:type="dxa"/>
          </w:tcPr>
          <w:p w14:paraId="05F801C3" w14:textId="4A1C1858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&lt;flow&gt;</w:t>
            </w:r>
          </w:p>
        </w:tc>
        <w:tc>
          <w:tcPr>
            <w:tcW w:w="7015" w:type="dxa"/>
          </w:tcPr>
          <w:p w14:paraId="1668481F" w14:textId="79C693A2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D</w:t>
            </w: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efining a set of activities that will be invoked in parallel</w:t>
            </w:r>
          </w:p>
        </w:tc>
      </w:tr>
      <w:tr w:rsidR="006B7F33" w14:paraId="513D6624" w14:textId="77777777" w:rsidTr="006B7F33">
        <w:tc>
          <w:tcPr>
            <w:tcW w:w="2335" w:type="dxa"/>
          </w:tcPr>
          <w:p w14:paraId="75243484" w14:textId="3D8D3D64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&lt;switch&gt;</w:t>
            </w:r>
          </w:p>
        </w:tc>
        <w:tc>
          <w:tcPr>
            <w:tcW w:w="7015" w:type="dxa"/>
          </w:tcPr>
          <w:p w14:paraId="08FF9D2C" w14:textId="5F0B7606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F</w:t>
            </w: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or implementing branches</w:t>
            </w:r>
          </w:p>
        </w:tc>
      </w:tr>
      <w:tr w:rsidR="006B7F33" w14:paraId="22DAB593" w14:textId="77777777" w:rsidTr="006B7F33">
        <w:tc>
          <w:tcPr>
            <w:tcW w:w="2335" w:type="dxa"/>
          </w:tcPr>
          <w:p w14:paraId="7E48018F" w14:textId="603C3878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&lt;while&gt;</w:t>
            </w:r>
          </w:p>
        </w:tc>
        <w:tc>
          <w:tcPr>
            <w:tcW w:w="7015" w:type="dxa"/>
          </w:tcPr>
          <w:p w14:paraId="2B70D651" w14:textId="659466D7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D</w:t>
            </w: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efining loops</w:t>
            </w:r>
          </w:p>
        </w:tc>
      </w:tr>
      <w:tr w:rsidR="006B7F33" w14:paraId="0EF02808" w14:textId="77777777" w:rsidTr="006B7F33">
        <w:tc>
          <w:tcPr>
            <w:tcW w:w="2335" w:type="dxa"/>
          </w:tcPr>
          <w:p w14:paraId="77EDD00C" w14:textId="085D38C6" w:rsidR="006B7F33" w:rsidRDefault="006B7F33">
            <w: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&lt;pick&gt;</w:t>
            </w:r>
          </w:p>
        </w:tc>
        <w:tc>
          <w:tcPr>
            <w:tcW w:w="7015" w:type="dxa"/>
          </w:tcPr>
          <w:p w14:paraId="79536254" w14:textId="0DC85174" w:rsidR="006B7F33" w:rsidRPr="0086109F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86109F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The ability to select one of several alternative paths</w:t>
            </w:r>
          </w:p>
        </w:tc>
      </w:tr>
      <w:tr w:rsidR="006B7F33" w14:paraId="12A2ABC2" w14:textId="77777777" w:rsidTr="006B7F33">
        <w:tc>
          <w:tcPr>
            <w:tcW w:w="2335" w:type="dxa"/>
          </w:tcPr>
          <w:p w14:paraId="53F61C20" w14:textId="1939F72B" w:rsidR="006B7F33" w:rsidRDefault="00F239D1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</w:t>
            </w:r>
            <w:proofErr w:type="spellStart"/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partnerLink</w:t>
            </w:r>
            <w:proofErr w:type="spellEnd"/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&gt;</w:t>
            </w:r>
          </w:p>
        </w:tc>
        <w:tc>
          <w:tcPr>
            <w:tcW w:w="7015" w:type="dxa"/>
          </w:tcPr>
          <w:p w14:paraId="23A1D630" w14:textId="6DC20DF2" w:rsidR="006B7F33" w:rsidRPr="009F5FA9" w:rsidRDefault="00F239D1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BPEL process will also define partner links</w:t>
            </w:r>
          </w:p>
        </w:tc>
      </w:tr>
      <w:tr w:rsidR="006B7F33" w14:paraId="0FDF13D3" w14:textId="77777777" w:rsidTr="006B7F33">
        <w:tc>
          <w:tcPr>
            <w:tcW w:w="2335" w:type="dxa"/>
          </w:tcPr>
          <w:p w14:paraId="78CA6695" w14:textId="3CA9951A" w:rsidR="006B7F33" w:rsidRDefault="00F239D1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&lt;variable&gt;</w:t>
            </w:r>
          </w:p>
        </w:tc>
        <w:tc>
          <w:tcPr>
            <w:tcW w:w="7015" w:type="dxa"/>
          </w:tcPr>
          <w:p w14:paraId="07CE494F" w14:textId="282C2B8C" w:rsidR="006B7F33" w:rsidRPr="009F5FA9" w:rsidRDefault="00F239D1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  <w:r w:rsidRPr="009F5FA9"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  <w:t>declare variables</w:t>
            </w:r>
          </w:p>
        </w:tc>
      </w:tr>
      <w:tr w:rsidR="006B7F33" w14:paraId="34F19AAE" w14:textId="77777777" w:rsidTr="006B7F33">
        <w:tc>
          <w:tcPr>
            <w:tcW w:w="2335" w:type="dxa"/>
          </w:tcPr>
          <w:p w14:paraId="5D458B89" w14:textId="77777777" w:rsidR="006B7F33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</w:p>
        </w:tc>
        <w:tc>
          <w:tcPr>
            <w:tcW w:w="7015" w:type="dxa"/>
          </w:tcPr>
          <w:p w14:paraId="5006EE52" w14:textId="77777777" w:rsidR="006B7F33" w:rsidRPr="009F5FA9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</w:p>
        </w:tc>
      </w:tr>
      <w:tr w:rsidR="006B7F33" w14:paraId="63101907" w14:textId="77777777" w:rsidTr="006B7F33">
        <w:tc>
          <w:tcPr>
            <w:tcW w:w="2335" w:type="dxa"/>
          </w:tcPr>
          <w:p w14:paraId="7F79FBB7" w14:textId="77777777" w:rsidR="006B7F33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</w:p>
        </w:tc>
        <w:tc>
          <w:tcPr>
            <w:tcW w:w="7015" w:type="dxa"/>
          </w:tcPr>
          <w:p w14:paraId="05BA9C70" w14:textId="77777777" w:rsidR="006B7F33" w:rsidRDefault="006B7F33">
            <w:pP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CFBFA"/>
              </w:rPr>
            </w:pPr>
          </w:p>
        </w:tc>
      </w:tr>
      <w:tr w:rsidR="006B7F33" w14:paraId="4B583F21" w14:textId="77777777" w:rsidTr="006B7F33">
        <w:tc>
          <w:tcPr>
            <w:tcW w:w="2335" w:type="dxa"/>
          </w:tcPr>
          <w:p w14:paraId="34D4DEFD" w14:textId="77777777" w:rsidR="006B7F33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</w:p>
        </w:tc>
        <w:tc>
          <w:tcPr>
            <w:tcW w:w="7015" w:type="dxa"/>
          </w:tcPr>
          <w:p w14:paraId="657B6ED8" w14:textId="77777777" w:rsidR="006B7F33" w:rsidRDefault="006B7F33">
            <w:pP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CFBFA"/>
              </w:rPr>
            </w:pPr>
          </w:p>
        </w:tc>
      </w:tr>
      <w:tr w:rsidR="006B7F33" w14:paraId="239984AE" w14:textId="77777777" w:rsidTr="006B7F33">
        <w:tc>
          <w:tcPr>
            <w:tcW w:w="2335" w:type="dxa"/>
          </w:tcPr>
          <w:p w14:paraId="21CCFD61" w14:textId="77777777" w:rsidR="006B7F33" w:rsidRDefault="006B7F33">
            <w:pPr>
              <w:rPr>
                <w:rFonts w:ascii="Courier" w:hAnsi="Courier"/>
                <w:color w:val="4F5A5A"/>
                <w:sz w:val="20"/>
                <w:szCs w:val="20"/>
                <w:shd w:val="clear" w:color="auto" w:fill="EDECEA"/>
              </w:rPr>
            </w:pPr>
          </w:p>
        </w:tc>
        <w:tc>
          <w:tcPr>
            <w:tcW w:w="7015" w:type="dxa"/>
          </w:tcPr>
          <w:p w14:paraId="50212BC8" w14:textId="77777777" w:rsidR="006B7F33" w:rsidRDefault="006B7F33">
            <w:pP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CFBFA"/>
              </w:rPr>
            </w:pPr>
          </w:p>
        </w:tc>
      </w:tr>
    </w:tbl>
    <w:p w14:paraId="604C6F58" w14:textId="385F1D4D" w:rsidR="00C61D32" w:rsidRDefault="00616BE3"/>
    <w:p w14:paraId="33F3E7CB" w14:textId="7D1168AD" w:rsidR="00C2658E" w:rsidRDefault="00C2658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r>
        <w:t xml:space="preserve">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American Airlines and Delta Airlines</w:t>
      </w:r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-&gt;return the lower price for client.</w:t>
      </w:r>
    </w:p>
    <w:p w14:paraId="3681C1B9" w14:textId="5DB03646" w:rsidR="00AC7210" w:rsidRDefault="00AC7210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Giải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2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hãng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hang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cung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câp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Webservice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giống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nhau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-&gt;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từ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port type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và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operations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như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trong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ví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thường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sử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dụng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đồng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bộ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hoạt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động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lâu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dài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và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dịch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đồng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bộ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hoạt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động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trả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về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kết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quả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trong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thời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gian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tương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đối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ngắn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Nếu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sử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dụng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dịch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Web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đồng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bộ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quy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trình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BPEL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thương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không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đồng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bộ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.</w:t>
      </w:r>
    </w:p>
    <w:p w14:paraId="7F141ECA" w14:textId="6A89D4B1" w:rsidR="00585A9E" w:rsidRDefault="00AC7210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Ví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: Example BPEL process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sắp</w:t>
      </w:r>
      <w:proofErr w:type="spellEnd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xếp</w:t>
      </w:r>
      <w:proofErr w:type="spellEnd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quá</w:t>
      </w:r>
      <w:proofErr w:type="spellEnd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trình</w:t>
      </w:r>
      <w:proofErr w:type="spellEnd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du </w:t>
      </w:r>
      <w:proofErr w:type="spellStart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lịch</w:t>
      </w:r>
      <w:proofErr w:type="spellEnd"/>
      <w:r w:rsidR="00585A9E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:</w:t>
      </w:r>
    </w:p>
    <w:p w14:paraId="44B16DF5" w14:textId="12AC641F" w:rsidR="00585A9E" w:rsidRDefault="00585A9E" w:rsidP="00585A9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Làm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quen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với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dịch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web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có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liên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quan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.</w:t>
      </w:r>
    </w:p>
    <w:p w14:paraId="7A89C6BC" w14:textId="185D84BA" w:rsidR="00585A9E" w:rsidRDefault="00585A9E" w:rsidP="00585A9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WSDL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BPEL process</w:t>
      </w:r>
    </w:p>
    <w:p w14:paraId="56B990B6" w14:textId="39C69F87" w:rsidR="00585A9E" w:rsidRDefault="00585A9E" w:rsidP="00585A9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ĐInh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parter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link types.</w:t>
      </w:r>
    </w:p>
    <w:p w14:paraId="13E2C0E2" w14:textId="74F51F32" w:rsidR="00585A9E" w:rsidRDefault="00585A9E" w:rsidP="00585A9E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Phát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triển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BPEL process:</w:t>
      </w:r>
    </w:p>
    <w:p w14:paraId="7ABAB90C" w14:textId="44030519" w:rsidR="00585A9E" w:rsidRDefault="00585A9E" w:rsidP="00585A9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parter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links</w:t>
      </w:r>
    </w:p>
    <w:p w14:paraId="42E76679" w14:textId="3D177CE9" w:rsidR="00585A9E" w:rsidRDefault="00585A9E" w:rsidP="00585A9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biến</w:t>
      </w:r>
      <w:proofErr w:type="spellEnd"/>
    </w:p>
    <w:p w14:paraId="68D32B50" w14:textId="10A54838" w:rsidR="00BF667F" w:rsidRDefault="00585A9E" w:rsidP="00BF667F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Viết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những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process logic.</w:t>
      </w:r>
    </w:p>
    <w:p w14:paraId="2FD03495" w14:textId="7AE313E1" w:rsidR="00BF667F" w:rsidRPr="00BF667F" w:rsidRDefault="00BF667F" w:rsidP="00BF667F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Bước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1: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dịch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vụ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web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có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liên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quan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:</w:t>
      </w:r>
    </w:p>
    <w:p w14:paraId="17AE1307" w14:textId="443A56E6" w:rsidR="00585A9E" w:rsidRDefault="00BF667F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Bước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2: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WSDL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cái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BPEL Process:</w:t>
      </w:r>
    </w:p>
    <w:p w14:paraId="0D24A07B" w14:textId="19DAC4DC" w:rsidR="00BF667F" w:rsidRDefault="00BF667F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Bước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3: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Định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nghĩa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Partern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Link Types:</w:t>
      </w:r>
    </w:p>
    <w:p w14:paraId="78BEDA00" w14:textId="52020933" w:rsidR="00FA39AC" w:rsidRDefault="00FA39AC" w:rsidP="00585A9E">
      <w:pPr>
        <w:rPr>
          <w:rFonts w:ascii="Courier" w:hAnsi="Courier"/>
          <w:color w:val="4F5A5A"/>
          <w:shd w:val="clear" w:color="auto" w:fill="EDECEA"/>
        </w:rPr>
      </w:pPr>
      <w:proofErr w:type="spellStart"/>
      <w:r>
        <w:rPr>
          <w:rFonts w:ascii="Courier" w:hAnsi="Courier"/>
          <w:color w:val="4F5A5A"/>
          <w:shd w:val="clear" w:color="auto" w:fill="EDECEA"/>
        </w:rPr>
        <w:t>FlightAvailabilityPT</w:t>
      </w:r>
      <w:proofErr w:type="spellEnd"/>
      <w:r>
        <w:rPr>
          <w:rFonts w:ascii="Courier" w:hAnsi="Courier"/>
          <w:color w:val="4F5A5A"/>
          <w:shd w:val="clear" w:color="auto" w:fill="EDECEA"/>
        </w:rPr>
        <w:t>:</w:t>
      </w:r>
    </w:p>
    <w:p w14:paraId="3327CE9B" w14:textId="229704F9" w:rsidR="00FA39AC" w:rsidRDefault="00FA39AC" w:rsidP="00585A9E">
      <w:pPr>
        <w:rPr>
          <w:rFonts w:ascii="Courier" w:hAnsi="Courier"/>
          <w:color w:val="4F5A5A"/>
          <w:shd w:val="clear" w:color="auto" w:fill="EDECEA"/>
        </w:rPr>
      </w:pPr>
      <w:proofErr w:type="spellStart"/>
      <w:r>
        <w:rPr>
          <w:rFonts w:ascii="Courier" w:hAnsi="Courier"/>
          <w:color w:val="4F5A5A"/>
          <w:shd w:val="clear" w:color="auto" w:fill="EDECEA"/>
        </w:rPr>
        <w:t>FlightCallbackPT</w:t>
      </w:r>
      <w:proofErr w:type="spellEnd"/>
      <w:r>
        <w:rPr>
          <w:rFonts w:ascii="Courier" w:hAnsi="Courier"/>
          <w:color w:val="4F5A5A"/>
          <w:shd w:val="clear" w:color="auto" w:fill="EDECEA"/>
        </w:rPr>
        <w:t>:</w:t>
      </w:r>
    </w:p>
    <w:p w14:paraId="16A6807A" w14:textId="77777777" w:rsidR="00FA39AC" w:rsidRDefault="00FA39AC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</w:p>
    <w:p w14:paraId="0ACD9E2A" w14:textId="6662043F" w:rsidR="00FB4603" w:rsidRDefault="00FB4603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lastRenderedPageBreak/>
        <w:t>travelLT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:</w:t>
      </w:r>
    </w:p>
    <w:p w14:paraId="5949DCFF" w14:textId="440055ED" w:rsidR="00FB4603" w:rsidRDefault="00FB4603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employeeLT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:</w:t>
      </w:r>
    </w:p>
    <w:p w14:paraId="5BED350B" w14:textId="451DD269" w:rsidR="00FB4603" w:rsidRDefault="00FB4603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flightLT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:</w:t>
      </w:r>
    </w:p>
    <w:p w14:paraId="241DED19" w14:textId="0E88315F" w:rsidR="00FA39AC" w:rsidRDefault="00FA39AC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Cho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cơ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chế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đồng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bộ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-&gt; </w:t>
      </w:r>
    </w:p>
    <w:p w14:paraId="2067F490" w14:textId="39175020" w:rsidR="00BF667F" w:rsidRPr="00585A9E" w:rsidRDefault="00BF667F" w:rsidP="00585A9E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Bước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4: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Tạo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một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 xml:space="preserve"> Business Process:</w:t>
      </w:r>
    </w:p>
    <w:p w14:paraId="591E4107" w14:textId="21BD864E" w:rsidR="00AC7210" w:rsidRDefault="00FA39AC">
      <w:pPr>
        <w:rPr>
          <w:rFonts w:ascii="Courier" w:hAnsi="Courier"/>
          <w:color w:val="4F5A5A"/>
          <w:shd w:val="clear" w:color="auto" w:fill="EDECEA"/>
        </w:rPr>
      </w:pPr>
      <w:proofErr w:type="spellStart"/>
      <w:r>
        <w:rPr>
          <w:rFonts w:ascii="Courier" w:hAnsi="Courier"/>
          <w:color w:val="4F5A5A"/>
          <w:shd w:val="clear" w:color="auto" w:fill="EDECEA"/>
        </w:rPr>
        <w:t>EmployeeTravelStatusRequest</w:t>
      </w:r>
      <w:proofErr w:type="spellEnd"/>
      <w:r>
        <w:rPr>
          <w:rFonts w:ascii="Courier" w:hAnsi="Courier"/>
          <w:color w:val="4F5A5A"/>
          <w:shd w:val="clear" w:color="auto" w:fill="EDECEA"/>
        </w:rPr>
        <w:t>:</w:t>
      </w:r>
    </w:p>
    <w:p w14:paraId="5E02DA92" w14:textId="7ED623B7" w:rsidR="00FA39AC" w:rsidRDefault="00FA39AC">
      <w:pPr>
        <w:rPr>
          <w:rFonts w:ascii="Courier" w:hAnsi="Courier"/>
          <w:color w:val="4F5A5A"/>
          <w:shd w:val="clear" w:color="auto" w:fill="EDECEA"/>
        </w:rPr>
      </w:pPr>
      <w:proofErr w:type="spellStart"/>
      <w:r>
        <w:rPr>
          <w:rFonts w:ascii="Courier" w:hAnsi="Courier"/>
          <w:color w:val="4F5A5A"/>
          <w:shd w:val="clear" w:color="auto" w:fill="EDECEA"/>
        </w:rPr>
        <w:t>EmployeeTravelStatusResponse</w:t>
      </w:r>
      <w:proofErr w:type="spellEnd"/>
      <w:r>
        <w:rPr>
          <w:rFonts w:ascii="Courier" w:hAnsi="Courier"/>
          <w:color w:val="4F5A5A"/>
          <w:shd w:val="clear" w:color="auto" w:fill="EDECEA"/>
        </w:rPr>
        <w:t>:</w:t>
      </w:r>
    </w:p>
    <w:p w14:paraId="78252B53" w14:textId="4A179E81" w:rsidR="00FA39AC" w:rsidRDefault="00FA39AC">
      <w:pPr>
        <w:rPr>
          <w:rFonts w:ascii="Courier" w:hAnsi="Courier"/>
          <w:color w:val="4F5A5A"/>
          <w:shd w:val="clear" w:color="auto" w:fill="EDECEA"/>
        </w:rPr>
      </w:pPr>
      <w:proofErr w:type="spellStart"/>
      <w:r>
        <w:rPr>
          <w:rFonts w:ascii="Courier" w:hAnsi="Courier"/>
          <w:color w:val="4F5A5A"/>
          <w:shd w:val="clear" w:color="auto" w:fill="EDECEA"/>
        </w:rPr>
        <w:t>FlightTicketRequest</w:t>
      </w:r>
      <w:proofErr w:type="spellEnd"/>
      <w:r>
        <w:rPr>
          <w:rFonts w:ascii="Courier" w:hAnsi="Courier"/>
          <w:color w:val="4F5A5A"/>
          <w:shd w:val="clear" w:color="auto" w:fill="EDECEA"/>
        </w:rPr>
        <w:t>:</w:t>
      </w:r>
    </w:p>
    <w:p w14:paraId="07289C59" w14:textId="142A2095" w:rsidR="00FA39AC" w:rsidRDefault="00FA39AC">
      <w:pPr>
        <w:rPr>
          <w:rFonts w:ascii="Courier" w:hAnsi="Courier"/>
          <w:color w:val="4F5A5A"/>
          <w:sz w:val="19"/>
          <w:szCs w:val="19"/>
          <w:shd w:val="clear" w:color="auto" w:fill="EDECEA"/>
        </w:rPr>
      </w:pPr>
      <w:proofErr w:type="spellStart"/>
      <w:r>
        <w:rPr>
          <w:rFonts w:ascii="Courier" w:hAnsi="Courier"/>
          <w:color w:val="4F5A5A"/>
          <w:sz w:val="19"/>
          <w:szCs w:val="19"/>
          <w:shd w:val="clear" w:color="auto" w:fill="EDECEA"/>
        </w:rPr>
        <w:t>flightData</w:t>
      </w:r>
      <w:proofErr w:type="spellEnd"/>
      <w:r>
        <w:rPr>
          <w:rFonts w:ascii="Courier" w:hAnsi="Courier"/>
          <w:color w:val="4F5A5A"/>
          <w:sz w:val="19"/>
          <w:szCs w:val="19"/>
          <w:shd w:val="clear" w:color="auto" w:fill="EDECEA"/>
        </w:rPr>
        <w:t>:</w:t>
      </w:r>
    </w:p>
    <w:p w14:paraId="2F309DF1" w14:textId="758B2A07" w:rsidR="00FA39AC" w:rsidRDefault="00FA39AC">
      <w:pPr>
        <w:rPr>
          <w:rFonts w:ascii="Courier" w:hAnsi="Courier"/>
          <w:color w:val="4F5A5A"/>
          <w:sz w:val="19"/>
          <w:szCs w:val="19"/>
          <w:shd w:val="clear" w:color="auto" w:fill="EDECEA"/>
        </w:rPr>
      </w:pPr>
      <w:proofErr w:type="spellStart"/>
      <w:r>
        <w:rPr>
          <w:rFonts w:ascii="Courier" w:hAnsi="Courier"/>
          <w:color w:val="4F5A5A"/>
          <w:sz w:val="19"/>
          <w:szCs w:val="19"/>
          <w:shd w:val="clear" w:color="auto" w:fill="EDECEA"/>
        </w:rPr>
        <w:t>travelClass</w:t>
      </w:r>
      <w:proofErr w:type="spellEnd"/>
      <w:r>
        <w:rPr>
          <w:rFonts w:ascii="Courier" w:hAnsi="Courier"/>
          <w:color w:val="4F5A5A"/>
          <w:sz w:val="19"/>
          <w:szCs w:val="19"/>
          <w:shd w:val="clear" w:color="auto" w:fill="EDECEA"/>
        </w:rPr>
        <w:t>:</w:t>
      </w:r>
    </w:p>
    <w:p w14:paraId="76D850B1" w14:textId="269312F8" w:rsidR="00FA39AC" w:rsidRDefault="00FA39AC">
      <w:pPr>
        <w:rPr>
          <w:rFonts w:ascii="Courier" w:hAnsi="Courier"/>
          <w:color w:val="4F5A5A"/>
          <w:sz w:val="19"/>
          <w:szCs w:val="19"/>
          <w:shd w:val="clear" w:color="auto" w:fill="EDECEA"/>
        </w:rPr>
      </w:pPr>
    </w:p>
    <w:p w14:paraId="734B8756" w14:textId="59C12321" w:rsidR="00616BE3" w:rsidRDefault="00616BE3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r w:rsidRPr="00616BE3">
        <w:rPr>
          <w:rFonts w:ascii="Segoe UI" w:hAnsi="Segoe UI" w:cs="Segoe UI"/>
          <w:color w:val="000000"/>
          <w:sz w:val="20"/>
          <w:szCs w:val="20"/>
          <w:shd w:val="clear" w:color="auto" w:fill="FCFBFA"/>
        </w:rPr>
        <w:t>Create Application Server Connection</w:t>
      </w:r>
    </w:p>
    <w:p w14:paraId="616D7FE7" w14:textId="77777777" w:rsidR="00616BE3" w:rsidRPr="00AC7210" w:rsidRDefault="00616BE3">
      <w:pPr>
        <w:rPr>
          <w:rFonts w:ascii="Segoe UI" w:hAnsi="Segoe UI" w:cs="Segoe UI"/>
          <w:color w:val="000000"/>
          <w:sz w:val="20"/>
          <w:szCs w:val="20"/>
          <w:shd w:val="clear" w:color="auto" w:fill="FCFBFA"/>
        </w:rPr>
      </w:pPr>
      <w:bookmarkStart w:id="0" w:name="_GoBack"/>
      <w:bookmarkEnd w:id="0"/>
    </w:p>
    <w:sectPr w:rsidR="00616BE3" w:rsidRPr="00A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796B"/>
    <w:multiLevelType w:val="hybridMultilevel"/>
    <w:tmpl w:val="FC285580"/>
    <w:lvl w:ilvl="0" w:tplc="6C0C9D7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3"/>
    <w:rsid w:val="00585A9E"/>
    <w:rsid w:val="00616BE3"/>
    <w:rsid w:val="006B5D47"/>
    <w:rsid w:val="006B7F33"/>
    <w:rsid w:val="0086109F"/>
    <w:rsid w:val="009F5FA9"/>
    <w:rsid w:val="00A96379"/>
    <w:rsid w:val="00AC170A"/>
    <w:rsid w:val="00AC7210"/>
    <w:rsid w:val="00BF667F"/>
    <w:rsid w:val="00C2658E"/>
    <w:rsid w:val="00C555C1"/>
    <w:rsid w:val="00E256E4"/>
    <w:rsid w:val="00F239D1"/>
    <w:rsid w:val="00FA39AC"/>
    <w:rsid w:val="00F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215E"/>
  <w15:chartTrackingRefBased/>
  <w15:docId w15:val="{6EF6AD48-C281-41F5-8BD5-F2E7B8D8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11</cp:revision>
  <dcterms:created xsi:type="dcterms:W3CDTF">2020-06-03T01:33:00Z</dcterms:created>
  <dcterms:modified xsi:type="dcterms:W3CDTF">2020-06-03T02:37:00Z</dcterms:modified>
</cp:coreProperties>
</file>