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34"/>
        </w:rPr>
        <w:t>Architecture Synchronization Record</w:t>
      </w:r>
    </w:p>
    <w:p>
      <w:pPr>
        <w:jc w:val="center"/>
      </w:pPr>
      <w:r>
        <w:rPr>
          <w:rFonts w:ascii="Noto Sans CJK SC" w:hAnsi="Noto Sans CJK SC" w:eastAsia="Noto Sans CJK SC"/>
          <w:b/>
          <w:sz w:val="22"/>
        </w:rPr>
        <w:t>STM32 + FreeRTOS Dual-ECU CAN Project</w:t>
      </w:r>
    </w:p>
    <w:p>
      <w:pPr>
        <w:jc w:val="center"/>
      </w:pPr>
      <w:r>
        <w:rPr>
          <w:rFonts w:ascii="Noto Sans CJK SC" w:hAnsi="Noto Sans CJK SC" w:eastAsia="Noto Sans CJK SC"/>
          <w:b w:val="0"/>
          <w:sz w:val="18"/>
        </w:rPr>
        <w:t>Change Set: 2026-09-03 | Hardware Selection entry + project administration trace</w:t>
      </w: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1. Engineering Decisions Frozen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2381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Decision</w:t>
            </w:r>
          </w:p>
        </w:tc>
        <w:tc>
          <w:tcPr>
            <w:tcW w:type="dxa" w:w="5783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Frozen conclusion</w:t>
            </w:r>
          </w:p>
        </w:tc>
        <w:tc>
          <w:tcPr>
            <w:tcW w:type="dxa" w:w="2494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Affected artifacts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Thermal Plant implementation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采用铝制散热体/散热块作为 Thermal Plant（被冷却热对象），通过独立功率电阻形成可重复热源。热源属于外部 Plant，不作为 Node B 的控制输出。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SAD Hardware Architecture；Hardware Selection Record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Plant Temperature acquisition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v0.1 采用 NTC (Negative Temperature Coefficient Thermistor，负温度系数热敏电阻) + Node B ADC (Analog-to-Digital Converter，模数转换器) 分压采集。I²C digital temperature sensor 不作为 v0.1 首选实现。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SAD Signal Architecture；FreeRTOS sensor boundary；FB-06 implementation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Cooling actuator hardware direction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v0.1 优先采用 12 V 四线变速风扇：12 V / GND / PWM command / Tach feedback。Node A 使用 PWM 控速并通过 Tach 脉冲获得 Actual RPM。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SAD Node A hardware；Hardware Selection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Fan current interpretation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原型中 Node A 测量风扇供电电流，而不是直接测 BLDC motor winding phase current。FA-04 Motor Overcurrent 的原型证据解释为 fan supply current abnormal high；Fault identity / reaction principle 不变。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Fault List implementation note；Hardware Selection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Heater responsibility boundary</w:t>
            </w:r>
          </w:p>
        </w:tc>
        <w:tc>
          <w:tcPr>
            <w:tcW w:type="dxa" w:w="57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Heater/Power Resistor 独立供电或物理开关控制，不新增 HeaterTask、Heater CAN signal 或 heater-control fault family。</w:t>
            </w:r>
          </w:p>
        </w:tc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SAD responsibility boundary；FreeRTOS scope</w:t>
            </w:r>
          </w:p>
        </w:tc>
      </w:tr>
    </w:tbl>
    <w:p>
      <w:pPr>
        <w:spacing w:after="20"/>
      </w:pP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2. MCU / Development Board Status — Preferred, Not Yet Fully Frozen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两节点继续保持“统一 MCU / unified board platform”原则，以降低 BSP、Clock、CAN、Timer、ADC、FreeRTOS configuration 与调试差异。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当前采购首选为 NUCLEO-F103RB ×2；STM32F103RB 的 72 MHz Cortex-M3、128 KB Flash、20 KB SRAM、CAN、ADC、Timer/PWM/Input Capture 与 DMA 能覆盖 v0.1。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NUCLEO-F103RB 的主要价值不是更高算力，而是板载 ST-LINK、官方硬件设计、完整 I/O 引出与稳定调试环境，尤其利于后续 Task timing / Fault Injection / GPIO measurement。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由于用户仍在确认淘宝/天猫货源、发票、大创报销和资产归属，HS-01 暂记为“Preferred Procurement Baseline”，不写成不可回退的 final freeze。收到板卡并完成 ST-LINK / target MCU / download-debug 验收后再转 CLOSED。</w:t>
      </w: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3. Hardware Selection Items Still Open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94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Item</w:t>
            </w:r>
          </w:p>
        </w:tc>
        <w:tc>
          <w:tcPr>
            <w:tcW w:type="dxa" w:w="771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Current state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HS-01 MCU / Board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Preferred: NUCLEO-F103RB ×2；待采购/验收后关闭。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HS-02 CAN Transceiver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下一项正式选型；需确定 3.3 V MCU interface、CAN_H/CAN_L、120 Ω termination、供电与保护。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HS-03 Fan concrete model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四线 12 V PWM + Tach 方向已定；具体尺寸、额定电流、PWM electrical interface、Tach pulses/rev 待选。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HS-04 NTC network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NTC + ADC 路线已定；具体 NTC 阻值/B 值、固定分压电阻、ADC range、filter 与 plausibility 阈值待选。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HS-05 Current sensing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需选具体 current sensor / shunt solution，并据此实现 FA-04 Motor Overcurrent、FA-05 Current Feedback Fault。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HS-06 Supply Voltage sensing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是否将 FA-06 Supply Voltage Fault 的物理采样纳入 v0.1 仍 OPEN。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HS-07 Heater / Thermal Plant ratings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结构已定；具体功率电阻功率、散热块尺寸、热接口材料与 12 V 电源能力待计算/实验。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HS-08 Power / protection</w:t>
            </w:r>
          </w:p>
        </w:tc>
        <w:tc>
          <w:tcPr>
            <w:tcW w:type="dxa" w:w="771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12 V→board/sensors power distribution、fuse/reverse-polarity/transient strategy 后续选型。</w:t>
            </w:r>
          </w:p>
        </w:tc>
      </w:tr>
    </w:tbl>
    <w:p>
      <w:pPr>
        <w:spacing w:after="20"/>
      </w:pP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4. Cross-Document Synchronization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3118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Artifact</w:t>
            </w:r>
          </w:p>
        </w:tc>
        <w:tc>
          <w:tcPr>
            <w:tcW w:type="dxa" w:w="7540"/>
            <w:shd w:fill="D9EA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2026-09-03 impact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System Architecture Definition v0.1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需在下一次 synced revision 中关闭 OI-03 Thermal Plant implementation，并把 Plant Temperature 从“NTC+ADC / I²C 待选”更新为 NTC+ADC baseline；Hardware section 写入四线风扇与独立 heater boundary。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FreeRTOS Task Architecture v0.1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Task 数量、Priority、IPC 不变；仅把 Plant Temperature sensor implementation 从候选改为 NTC+ADC baseline。仍不新增 SensorTask；ADC/DMA 的具体 driver implementation 不在 Task Architecture 冻结。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Fault List v0.1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Fault ID / severity / reaction 不改；补充 FA-04 Motor Overcurrent 在桌面原型中的 sensing evidence = fan supply current，并在 FB-06 Plant Temperature Signal Fault 中关联 NTC+ADC open/short plausibility。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CAN Matrix v0.1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本轮硬件选择不改变 CAN ID、DLC、signal packing、cycle、Alive/timeout；无需 revision。</w:t>
            </w:r>
          </w:p>
        </w:tc>
      </w:tr>
      <w:tr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Diagnostic Architecture v0.1</w:t>
            </w:r>
          </w:p>
        </w:tc>
        <w:tc>
          <w:tcPr>
            <w:tcW w:type="dxa" w:w="75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尚未开始；应在 Hardware Selection 主要信号/器件冻结后建立，届时冻结 event fields、Freeze Frame、log capacity、NVM、aging/clear 与 PC exposure。</w:t>
            </w:r>
          </w:p>
        </w:tc>
      </w:tr>
    </w:tbl>
    <w:p>
      <w:pPr>
        <w:spacing w:after="20"/>
      </w:pP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5. Project / 大创 Administration — Questions to Resolve Before Reimbursement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立项前购买的硬件，正式立项后是否允许追溯报销。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发票抬头、税号、电子发票和商品明细的具体要求。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约 180 元/块的 STM32 Nucleo 开发板报销后属于耗材、低值品还是学校资产；结项后是否必须上交。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项目在立项前已由个人持续开发并公开于 GitHub：挂大创后代码、设计文档、软著/专利等成果的知识产权与署名规则是否变化。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结题后是否仍允许继续个人维护、GitHub 公开，以及作为个人项目用于简历/面试。</w:t>
      </w:r>
    </w:p>
    <w:p>
      <w:pPr>
        <w:pStyle w:val="ListBullet"/>
        <w:spacing w:after="20"/>
        <w:ind w:left="283"/>
      </w:pPr>
      <w:r>
        <w:rPr>
          <w:rFonts w:ascii="Noto Sans CJK SC" w:hAnsi="Noto Sans CJK SC" w:eastAsia="Noto Sans CJK SC"/>
          <w:b w:val="0"/>
          <w:sz w:val="18"/>
        </w:rPr>
        <w:t>个人自费硬件与大创经费报销硬件的资产归属是否分别处理。</w:t>
      </w:r>
    </w:p>
    <w:p>
      <w:pPr>
        <w:spacing w:before="120" w:after="50"/>
      </w:pPr>
      <w:r>
        <w:rPr>
          <w:rFonts w:ascii="Noto Sans CJK SC" w:hAnsi="Noto Sans CJK SC" w:eastAsia="Noto Sans CJK SC"/>
          <w:b/>
          <w:color w:val="1F4E79"/>
          <w:sz w:val="24"/>
        </w:rPr>
        <w:t>6. Next Engineering Step</w:t>
      </w:r>
    </w:p>
    <w:p>
      <w:r>
        <w:rPr>
          <w:rFonts w:ascii="Noto Sans CJK SC" w:hAnsi="Noto Sans CJK SC" w:eastAsia="Noto Sans CJK SC"/>
          <w:b/>
          <w:sz w:val="19"/>
        </w:rPr>
        <w:t>在不等待大创行政问题完全解决的前提下，工程设计下一步进入 HS-02 CAN Transceiver 选型。</w:t>
      </w:r>
      <w:r>
        <w:rPr>
          <w:rFonts w:ascii="Noto Sans CJK SC" w:hAnsi="Noto Sans CJK SC" w:eastAsia="Noto Sans CJK SC"/>
          <w:b w:val="0"/>
          <w:sz w:val="18"/>
        </w:rPr>
        <w:t xml:space="preserve"> NUCLEO-F103RB 只作为当前首选采购平台；如果大创资产/报销规则或货源验收产生明显问题，可在不破坏上游架构的情况下回退到其他可靠 STM32F103 平台。</w:t>
      </w:r>
    </w:p>
    <w:sectPr w:rsidR="00FC693F" w:rsidRPr="0006063C" w:rsidSect="00034616">
      <w:footerReference w:type="default" r:id="rId9"/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777777"/>
        <w:sz w:val="16"/>
      </w:rPr>
      <w:t>Architecture trace | 2026-09-03 | v0.1 project baseline evolution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