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FreeRTOS Task Architecture v0.1</w:t>
      </w:r>
    </w:p>
    <w:p>
      <w:pPr>
        <w:jc w:val="center"/>
      </w:pPr>
      <w:r>
        <w:rPr>
          <w:rFonts w:ascii="Noto Sans CJK SC" w:hAnsi="Noto Sans CJK SC" w:eastAsia="Noto Sans CJK SC"/>
          <w:b/>
          <w:sz w:val="20"/>
        </w:rPr>
        <w:t>Dual-ECU Thermal Management Control &amp; Diagnostic System</w:t>
      </w:r>
    </w:p>
    <w:p>
      <w:pPr>
        <w:jc w:val="center"/>
      </w:pPr>
      <w:r>
        <w:rPr>
          <w:i/>
          <w:sz w:val="17"/>
        </w:rPr>
        <w:t>Status: WORKING BASELINE</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EAF2F8"/>
          </w:tcPr>
          <w:p>
            <w:pPr>
              <w:spacing w:after="0" w:before="0"/>
            </w:pPr>
            <w:r/>
            <w:r>
              <w:rPr>
                <w:rFonts w:ascii="Noto Sans CJK SC" w:hAnsi="Noto Sans CJK SC" w:eastAsia="Noto Sans CJK SC"/>
                <w:b/>
                <w:sz w:val="16"/>
              </w:rPr>
              <w:t>Upstream</w:t>
            </w:r>
          </w:p>
        </w:tc>
        <w:tc>
          <w:tcPr>
            <w:tcW w:type="dxa" w:w="5326"/>
            <w:vAlign w:val="center"/>
          </w:tcPr>
          <w:p>
            <w:pPr>
              <w:spacing w:after="0" w:before="0"/>
            </w:pPr>
            <w:r/>
            <w:r>
              <w:rPr>
                <w:rFonts w:ascii="Noto Sans CJK SC" w:hAnsi="Noto Sans CJK SC" w:eastAsia="Noto Sans CJK SC"/>
                <w:b w:val="0"/>
                <w:sz w:val="16"/>
              </w:rPr>
              <w:t>SAD v0.1 + Fault List v0.1 + CAN Matrix v0.1</w:t>
            </w:r>
          </w:p>
        </w:tc>
      </w:tr>
      <w:tr>
        <w:tc>
          <w:tcPr>
            <w:tcW w:type="dxa" w:w="5326"/>
            <w:vAlign w:val="center"/>
            <w:shd w:fill="EAF2F8"/>
          </w:tcPr>
          <w:p>
            <w:pPr>
              <w:spacing w:after="0" w:before="0"/>
            </w:pPr>
            <w:r/>
            <w:r>
              <w:rPr>
                <w:rFonts w:ascii="Noto Sans CJK SC" w:hAnsi="Noto Sans CJK SC" w:eastAsia="Noto Sans CJK SC"/>
                <w:b/>
                <w:sz w:val="16"/>
              </w:rPr>
              <w:t>Scope</w:t>
            </w:r>
          </w:p>
        </w:tc>
        <w:tc>
          <w:tcPr>
            <w:tcW w:type="dxa" w:w="5326"/>
            <w:vAlign w:val="center"/>
          </w:tcPr>
          <w:p>
            <w:pPr>
              <w:spacing w:after="0" w:before="0"/>
            </w:pPr>
            <w:r/>
            <w:r>
              <w:rPr>
                <w:rFonts w:ascii="Noto Sans CJK SC" w:hAnsi="Noto Sans CJK SC" w:eastAsia="Noto Sans CJK SC"/>
                <w:b w:val="0"/>
                <w:sz w:val="16"/>
              </w:rPr>
              <w:t>5 application tasks + 1 non-task immediate protection path</w:t>
            </w:r>
          </w:p>
        </w:tc>
      </w:tr>
      <w:tr>
        <w:tc>
          <w:tcPr>
            <w:tcW w:type="dxa" w:w="5326"/>
            <w:vAlign w:val="center"/>
            <w:shd w:fill="EAF2F8"/>
          </w:tcPr>
          <w:p>
            <w:pPr>
              <w:spacing w:after="0" w:before="0"/>
            </w:pPr>
            <w:r/>
            <w:r>
              <w:rPr>
                <w:rFonts w:ascii="Noto Sans CJK SC" w:hAnsi="Noto Sans CJK SC" w:eastAsia="Noto Sans CJK SC"/>
                <w:b/>
                <w:sz w:val="16"/>
              </w:rPr>
              <w:t>Principle</w:t>
            </w:r>
          </w:p>
        </w:tc>
        <w:tc>
          <w:tcPr>
            <w:tcW w:type="dxa" w:w="5326"/>
            <w:vAlign w:val="center"/>
          </w:tcPr>
          <w:p>
            <w:pPr>
              <w:spacing w:after="0" w:before="0"/>
            </w:pPr>
            <w:r/>
            <w:r>
              <w:rPr>
                <w:rFonts w:ascii="Noto Sans CJK SC" w:hAnsi="Noto Sans CJK SC" w:eastAsia="Noto Sans CJK SC"/>
                <w:b w:val="0"/>
                <w:sz w:val="16"/>
              </w:rPr>
              <w:t>按时序/阻塞/数据所有权划分 Task；不按功能名机械拆 Task</w:t>
            </w:r>
          </w:p>
        </w:tc>
      </w:tr>
      <w:tr>
        <w:tc>
          <w:tcPr>
            <w:tcW w:type="dxa" w:w="5326"/>
            <w:vAlign w:val="center"/>
            <w:shd w:fill="EAF2F8"/>
          </w:tcPr>
          <w:p>
            <w:pPr>
              <w:spacing w:after="0" w:before="0"/>
            </w:pPr>
            <w:r/>
            <w:r>
              <w:rPr>
                <w:rFonts w:ascii="Noto Sans CJK SC" w:hAnsi="Noto Sans CJK SC" w:eastAsia="Noto Sans CJK SC"/>
                <w:b/>
                <w:sz w:val="16"/>
              </w:rPr>
              <w:t>Current state</w:t>
            </w:r>
          </w:p>
        </w:tc>
        <w:tc>
          <w:tcPr>
            <w:tcW w:type="dxa" w:w="5326"/>
            <w:vAlign w:val="center"/>
          </w:tcPr>
          <w:p>
            <w:pPr>
              <w:spacing w:after="0" w:before="0"/>
            </w:pPr>
            <w:r/>
            <w:r>
              <w:rPr>
                <w:rFonts w:ascii="Noto Sans CJK SC" w:hAnsi="Noto Sans CJK SC" w:eastAsia="Noto Sans CJK SC"/>
                <w:b w:val="0"/>
                <w:sz w:val="16"/>
              </w:rPr>
              <w:t>Task structure frozen as working baseline; detailed IPC/priority numbers remain open</w:t>
            </w:r>
          </w:p>
        </w:tc>
      </w:tr>
    </w:tbl>
    <w:p>
      <w:pPr>
        <w:spacing w:after="0"/>
      </w:pPr>
    </w:p>
    <w:p>
      <w:pPr>
        <w:pStyle w:val="Heading1"/>
      </w:pPr>
      <w:r>
        <w:t>1. Task Architecture Snapshot</w:t>
      </w:r>
    </w:p>
    <w:p>
      <w:pPr>
        <w:spacing w:after="80"/>
      </w:pPr>
      <w:r>
        <w:rPr>
          <w:b/>
        </w:rPr>
        <w:t>Node A：</w:t>
      </w:r>
      <w:r>
        <w:t>3 个 Application Task + 1 条即时保护路径；</w:t>
      </w:r>
      <w:r>
        <w:rPr>
          <w:b/>
        </w:rPr>
        <w:t>Node B：</w:t>
      </w:r>
      <w:r>
        <w:t>2 个 Application Task。FreeRTOS 负责执行时序与同步，Fault Manager / State Manager 保持为软件模块，不单独建 Task。</w:t>
      </w:r>
    </w:p>
    <w:tbl>
      <w:tblPr>
        <w:tblStyle w:val="TableGrid"/>
        <w:tblW w:type="auto" w:w="0"/>
        <w:jc w:val="center"/>
        <w:tblLook w:firstColumn="1" w:firstRow="1" w:lastColumn="0" w:lastRow="0" w:noHBand="0" w:noVBand="1" w:val="04A0"/>
      </w:tblPr>
      <w:tblGrid>
        <w:gridCol w:w="2130"/>
        <w:gridCol w:w="2130"/>
        <w:gridCol w:w="2130"/>
        <w:gridCol w:w="2130"/>
        <w:gridCol w:w="2130"/>
      </w:tblGrid>
      <w:tr>
        <w:trPr>
          <w:tblHeader w:val="true"/>
        </w:trPr>
        <w:tc>
          <w:tcPr>
            <w:tcW w:type="dxa" w:w="2130"/>
            <w:vAlign w:val="center"/>
            <w:shd w:fill="D9EAF7"/>
          </w:tcPr>
          <w:p>
            <w:pPr>
              <w:spacing w:after="0" w:before="0" w:line="240" w:lineRule="auto"/>
            </w:pPr>
            <w:r>
              <w:rPr>
                <w:rFonts w:ascii="Noto Sans CJK SC" w:hAnsi="Noto Sans CJK SC" w:eastAsia="Noto Sans CJK SC"/>
                <w:b/>
                <w:sz w:val="14"/>
              </w:rPr>
            </w:r>
            <w:r>
              <w:rPr>
                <w:rFonts w:ascii="Noto Sans CJK SC" w:hAnsi="Noto Sans CJK SC" w:eastAsia="Noto Sans CJK SC"/>
                <w:b/>
                <w:sz w:val="14"/>
              </w:rPr>
              <w:t>ECU</w:t>
            </w:r>
          </w:p>
        </w:tc>
        <w:tc>
          <w:tcPr>
            <w:tcW w:type="dxa" w:w="2130"/>
            <w:vAlign w:val="center"/>
            <w:shd w:fill="D9EAF7"/>
          </w:tcPr>
          <w:p>
            <w:pPr>
              <w:spacing w:after="0" w:before="0" w:line="240" w:lineRule="auto"/>
            </w:pPr>
            <w:r>
              <w:rPr>
                <w:rFonts w:ascii="Noto Sans CJK SC" w:hAnsi="Noto Sans CJK SC" w:eastAsia="Noto Sans CJK SC"/>
                <w:b/>
                <w:sz w:val="14"/>
              </w:rPr>
            </w:r>
            <w:r>
              <w:rPr>
                <w:rFonts w:ascii="Noto Sans CJK SC" w:hAnsi="Noto Sans CJK SC" w:eastAsia="Noto Sans CJK SC"/>
                <w:b/>
                <w:sz w:val="14"/>
              </w:rPr>
              <w:t>Execution Context</w:t>
            </w:r>
          </w:p>
        </w:tc>
        <w:tc>
          <w:tcPr>
            <w:tcW w:type="dxa" w:w="2130"/>
            <w:vAlign w:val="center"/>
            <w:shd w:fill="D9EAF7"/>
          </w:tcPr>
          <w:p>
            <w:pPr>
              <w:spacing w:after="0" w:before="0" w:line="240" w:lineRule="auto"/>
            </w:pPr>
            <w:r>
              <w:rPr>
                <w:rFonts w:ascii="Noto Sans CJK SC" w:hAnsi="Noto Sans CJK SC" w:eastAsia="Noto Sans CJK SC"/>
                <w:b/>
                <w:sz w:val="14"/>
              </w:rPr>
            </w:r>
            <w:r>
              <w:rPr>
                <w:rFonts w:ascii="Noto Sans CJK SC" w:hAnsi="Noto Sans CJK SC" w:eastAsia="Noto Sans CJK SC"/>
                <w:b/>
                <w:sz w:val="14"/>
              </w:rPr>
              <w:t>Trigger / Period</w:t>
            </w:r>
          </w:p>
        </w:tc>
        <w:tc>
          <w:tcPr>
            <w:tcW w:type="dxa" w:w="2130"/>
            <w:vAlign w:val="center"/>
            <w:shd w:fill="D9EAF7"/>
          </w:tcPr>
          <w:p>
            <w:pPr>
              <w:spacing w:after="0" w:before="0" w:line="240" w:lineRule="auto"/>
            </w:pPr>
            <w:r>
              <w:rPr>
                <w:rFonts w:ascii="Noto Sans CJK SC" w:hAnsi="Noto Sans CJK SC" w:eastAsia="Noto Sans CJK SC"/>
                <w:b/>
                <w:sz w:val="14"/>
              </w:rPr>
            </w:r>
            <w:r>
              <w:rPr>
                <w:rFonts w:ascii="Noto Sans CJK SC" w:hAnsi="Noto Sans CJK SC" w:eastAsia="Noto Sans CJK SC"/>
                <w:b/>
                <w:sz w:val="14"/>
              </w:rPr>
              <w:t>Relative Priority</w:t>
            </w:r>
          </w:p>
        </w:tc>
        <w:tc>
          <w:tcPr>
            <w:tcW w:type="dxa" w:w="2130"/>
            <w:vAlign w:val="center"/>
            <w:shd w:fill="D9EAF7"/>
          </w:tcPr>
          <w:p>
            <w:pPr>
              <w:spacing w:after="0" w:before="0" w:line="240" w:lineRule="auto"/>
            </w:pPr>
            <w:r>
              <w:rPr>
                <w:rFonts w:ascii="Noto Sans CJK SC" w:hAnsi="Noto Sans CJK SC" w:eastAsia="Noto Sans CJK SC"/>
                <w:b/>
                <w:sz w:val="14"/>
              </w:rPr>
            </w:r>
            <w:r>
              <w:rPr>
                <w:rFonts w:ascii="Noto Sans CJK SC" w:hAnsi="Noto Sans CJK SC" w:eastAsia="Noto Sans CJK SC"/>
                <w:b/>
                <w:sz w:val="14"/>
              </w:rPr>
              <w:t>Core Responsibility</w:t>
            </w:r>
          </w:p>
        </w:tc>
      </w:tr>
      <w:tr>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A_ControlTask</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10 ms periodic</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High</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Demand→Target RPM；RPM/Current处理；闭环控制；本地执行器诊断；Fallback/输出仲裁</w:t>
            </w:r>
          </w:p>
        </w:tc>
      </w:tr>
      <w:tr>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A_ComRxTask</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CAN RX event-driven</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Medium-High</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解析/验证 0x100 Cooling_Command；Alive/sequence/validity；维护 FA-07 Cooling Demand Communication Fault</w:t>
            </w:r>
          </w:p>
        </w:tc>
      </w:tr>
      <w:tr>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A_Cyclic100msTask</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100 ms periodic</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Low</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读取状态快照；编码并发送 0x180 Actuator_Status；Status Alive++</w:t>
            </w:r>
          </w:p>
        </w:tc>
      </w:tr>
      <w:tr>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Immediate Protection Path</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Hardware / interrupt event</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Above tasks</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严重电气/硬件风险时立即进入 Safe Output；不是 FreeRTOS Task</w:t>
            </w:r>
          </w:p>
        </w:tc>
      </w:tr>
      <w:tr>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B</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B_ComRxTask</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CAN RX event-driven</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High</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解析/验证 0x180 Actuator_Status；Raw/Trusted freshness；维护 FB-03 / FB-04 通信监督</w:t>
            </w:r>
          </w:p>
        </w:tc>
      </w:tr>
      <w:tr>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B</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B_Cyclic100msSupervisorTask</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100 ms periodic</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Medium</w:t>
            </w:r>
          </w:p>
        </w:tc>
        <w:tc>
          <w:tcPr>
            <w:tcW w:type="dxa" w:w="2130"/>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Temperature；Thermal Strategy；系统级 Fault；Fault Aggregation；State Manager；发送 0x100 Cooling_Command</w:t>
            </w:r>
          </w:p>
        </w:tc>
      </w:tr>
    </w:tbl>
    <w:p>
      <w:pPr>
        <w:pStyle w:val="Heading1"/>
      </w:pPr>
      <w:r>
        <w:t>2. Key Execution &amp; Data-Ownership Rules</w:t>
      </w:r>
    </w:p>
    <w:p>
      <w:pPr>
        <w:pStyle w:val="ListBullet"/>
        <w:spacing w:after="20"/>
      </w:pPr>
      <w:r>
        <w:t>A_ControlTask 是正常软件路径中 Final Fan Output / PWM 的唯一 Owner；A_ComRxTask 与 A_Cyclic100msTask 不直接写 PWM。</w:t>
      </w:r>
    </w:p>
    <w:p>
      <w:pPr>
        <w:pStyle w:val="ListBullet"/>
        <w:spacing w:after="20"/>
      </w:pPr>
      <w:r>
        <w:t>FA-04 Motor Overcurrent 等严重风险走 Immediate Protection Path：先保护硬件，再由正常软件路径完成 Fault state、latch/recovery 与 CAN reporting。</w:t>
      </w:r>
    </w:p>
    <w:p>
      <w:pPr>
        <w:pStyle w:val="ListBullet"/>
        <w:spacing w:after="20"/>
      </w:pPr>
      <w:r>
        <w:t>CAN RX ISR 只做最小化接收/唤醒工作，复杂解析和 Fault qualification 放到 ComRxTask。</w:t>
      </w:r>
    </w:p>
    <w:p>
      <w:pPr>
        <w:pStyle w:val="ListBullet"/>
        <w:spacing w:after="20"/>
      </w:pPr>
      <w:r>
        <w:t>通信类 Fault 放在 ComRxTask；执行器控制/传感器 Fault 放在 A_ControlTask；系统热管理 Fault 放在 B_Cyclic100msSupervisorTask。</w:t>
      </w:r>
    </w:p>
    <w:p>
      <w:pPr>
        <w:pStyle w:val="ListBullet"/>
        <w:spacing w:after="20"/>
      </w:pPr>
      <w:r>
        <w:t>FA-06 Supply Voltage Fault 仅在 v0.1 最终纳入 Voltage sensing 时实现；Task 架构无需因此增加新 Task。</w:t>
      </w:r>
    </w:p>
    <w:p>
      <w:pPr>
        <w:pStyle w:val="Heading1"/>
      </w:pPr>
      <w:r>
        <w:t>3. Fault → Execution Context Mapping</w:t>
      </w:r>
    </w:p>
    <w:tbl>
      <w:tblPr>
        <w:tblStyle w:val="TableGrid"/>
        <w:tblW w:type="auto" w:w="0"/>
        <w:jc w:val="center"/>
        <w:tblLook w:firstColumn="1" w:firstRow="1" w:lastColumn="0" w:lastRow="0" w:noHBand="0" w:noVBand="1" w:val="04A0"/>
      </w:tblPr>
      <w:tblGrid>
        <w:gridCol w:w="3551"/>
        <w:gridCol w:w="3551"/>
        <w:gridCol w:w="3551"/>
      </w:tblGrid>
      <w:tr>
        <w:trPr>
          <w:tblHeader w:val="true"/>
        </w:trPr>
        <w:tc>
          <w:tcPr>
            <w:tcW w:type="dxa" w:w="3551"/>
            <w:vAlign w:val="center"/>
            <w:shd w:fill="D9EAF7"/>
          </w:tcPr>
          <w:p>
            <w:pPr>
              <w:spacing w:after="0" w:before="0" w:line="240" w:lineRule="auto"/>
            </w:pPr>
            <w:r>
              <w:rPr>
                <w:rFonts w:ascii="Noto Sans CJK SC" w:hAnsi="Noto Sans CJK SC" w:eastAsia="Noto Sans CJK SC"/>
                <w:b/>
                <w:sz w:val="14"/>
              </w:rPr>
            </w:r>
            <w:r>
              <w:rPr>
                <w:rFonts w:ascii="Noto Sans CJK SC" w:hAnsi="Noto Sans CJK SC" w:eastAsia="Noto Sans CJK SC"/>
                <w:b/>
                <w:sz w:val="14"/>
              </w:rPr>
              <w:t>Fault</w:t>
            </w:r>
          </w:p>
        </w:tc>
        <w:tc>
          <w:tcPr>
            <w:tcW w:type="dxa" w:w="3551"/>
            <w:vAlign w:val="center"/>
            <w:shd w:fill="D9EAF7"/>
          </w:tcPr>
          <w:p>
            <w:pPr>
              <w:spacing w:after="0" w:before="0" w:line="240" w:lineRule="auto"/>
            </w:pPr>
            <w:r>
              <w:rPr>
                <w:rFonts w:ascii="Noto Sans CJK SC" w:hAnsi="Noto Sans CJK SC" w:eastAsia="Noto Sans CJK SC"/>
                <w:b/>
                <w:sz w:val="14"/>
              </w:rPr>
            </w:r>
            <w:r>
              <w:rPr>
                <w:rFonts w:ascii="Noto Sans CJK SC" w:hAnsi="Noto Sans CJK SC" w:eastAsia="Noto Sans CJK SC"/>
                <w:b/>
                <w:sz w:val="14"/>
              </w:rPr>
              <w:t>Owner</w:t>
            </w:r>
          </w:p>
        </w:tc>
        <w:tc>
          <w:tcPr>
            <w:tcW w:type="dxa" w:w="3551"/>
            <w:vAlign w:val="center"/>
            <w:shd w:fill="D9EAF7"/>
          </w:tcPr>
          <w:p>
            <w:pPr>
              <w:spacing w:after="0" w:before="0" w:line="240" w:lineRule="auto"/>
            </w:pPr>
            <w:r>
              <w:rPr>
                <w:rFonts w:ascii="Noto Sans CJK SC" w:hAnsi="Noto Sans CJK SC" w:eastAsia="Noto Sans CJK SC"/>
                <w:b/>
                <w:sz w:val="14"/>
              </w:rPr>
            </w:r>
            <w:r>
              <w:rPr>
                <w:rFonts w:ascii="Noto Sans CJK SC" w:hAnsi="Noto Sans CJK SC" w:eastAsia="Noto Sans CJK SC"/>
                <w:b/>
                <w:sz w:val="14"/>
              </w:rPr>
              <w:t>Execution Context</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FA-01 Fan Stall</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A</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A_ControlTask</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FA-02 Fan Speed Deviation</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A</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A_ControlTask</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FA-03 RPM Feedback Fault</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A</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A_ControlTask</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FA-04 Motor Overcurrent</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A</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Immediate Protection Path + A_ControlTask management/reporting</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FA-05 Current Feedback Fault</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A</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A_ControlTask</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FA-06 Supply Voltage Fault</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A</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A_ControlTask (if voltage sensing implemented)</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FA-07 Cooling Demand Communication Fault</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A</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A_ComRxTask</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FB-01 Overtemperature</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B</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B_Cyclic100msSupervisorTask</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FB-02 Insufficient Cooling Performance</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B</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B_Cyclic100msSupervisorTask</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FB-03 Node A Communication Timeout</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B</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B_ComRxTask</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FB-04 Node A Alive / Sequence Fault</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B</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B_ComRxTask</w:t>
            </w:r>
          </w:p>
        </w:tc>
      </w:tr>
      <w:tr>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FB-06 Plant Temperature Signal Fault</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Node B</w:t>
            </w:r>
          </w:p>
        </w:tc>
        <w:tc>
          <w:tcPr>
            <w:tcW w:type="dxa" w:w="3551"/>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B_Cyclic100msSupervisorTask</w:t>
            </w:r>
          </w:p>
        </w:tc>
      </w:tr>
    </w:tbl>
    <w:p>
      <w:pPr>
        <w:pStyle w:val="Heading1"/>
      </w:pPr>
      <w:r>
        <w:t>4. IPC / Scheduling Working Decisions</w:t>
      </w:r>
    </w:p>
    <w:tbl>
      <w:tblPr>
        <w:tblStyle w:val="TableGrid"/>
        <w:tblW w:type="auto" w:w="0"/>
        <w:jc w:val="center"/>
        <w:tblLook w:firstColumn="1" w:firstRow="1" w:lastColumn="0" w:lastRow="0" w:noHBand="0" w:noVBand="1" w:val="04A0"/>
      </w:tblPr>
      <w:tblGrid>
        <w:gridCol w:w="5326"/>
        <w:gridCol w:w="5326"/>
      </w:tblGrid>
      <w:tr>
        <w:trPr>
          <w:tblHeader w:val="true"/>
        </w:trPr>
        <w:tc>
          <w:tcPr>
            <w:tcW w:type="dxa" w:w="5326"/>
            <w:vAlign w:val="center"/>
            <w:shd w:fill="D9EAF7"/>
          </w:tcPr>
          <w:p>
            <w:pPr>
              <w:spacing w:after="0" w:before="0" w:line="240" w:lineRule="auto"/>
            </w:pPr>
            <w:r>
              <w:rPr>
                <w:rFonts w:ascii="Noto Sans CJK SC" w:hAnsi="Noto Sans CJK SC" w:eastAsia="Noto Sans CJK SC"/>
                <w:b/>
                <w:sz w:val="14"/>
              </w:rPr>
            </w:r>
            <w:r>
              <w:rPr>
                <w:rFonts w:ascii="Noto Sans CJK SC" w:hAnsi="Noto Sans CJK SC" w:eastAsia="Noto Sans CJK SC"/>
                <w:b/>
                <w:sz w:val="14"/>
              </w:rPr>
              <w:t>Item</w:t>
            </w:r>
          </w:p>
        </w:tc>
        <w:tc>
          <w:tcPr>
            <w:tcW w:type="dxa" w:w="5326"/>
            <w:vAlign w:val="center"/>
            <w:shd w:fill="D9EAF7"/>
          </w:tcPr>
          <w:p>
            <w:pPr>
              <w:spacing w:after="0" w:before="0" w:line="240" w:lineRule="auto"/>
            </w:pPr>
            <w:r>
              <w:rPr>
                <w:rFonts w:ascii="Noto Sans CJK SC" w:hAnsi="Noto Sans CJK SC" w:eastAsia="Noto Sans CJK SC"/>
                <w:b/>
                <w:sz w:val="14"/>
              </w:rPr>
            </w:r>
            <w:r>
              <w:rPr>
                <w:rFonts w:ascii="Noto Sans CJK SC" w:hAnsi="Noto Sans CJK SC" w:eastAsia="Noto Sans CJK SC"/>
                <w:b/>
                <w:sz w:val="14"/>
              </w:rPr>
              <w:t>Working Decision</w:t>
            </w:r>
          </w:p>
        </w:tc>
      </w:tr>
      <w:tr>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CAN ISR → ComRxTask</w:t>
            </w:r>
          </w:p>
        </w:tc>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Use FreeRTOS Queue or equivalent frame buffer; ISR keeps processing minimal.</w:t>
            </w:r>
          </w:p>
        </w:tc>
      </w:tr>
      <w:tr>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ComRxTask → control/supervisor</w:t>
            </w:r>
          </w:p>
        </w:tc>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Latest-state mailbox/snapshot semantics; old state need not be replayed.</w:t>
            </w:r>
          </w:p>
        </w:tc>
      </w:tr>
      <w:tr>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A_ControlTask period</w:t>
            </w:r>
          </w:p>
        </w:tc>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10 ms working baseline; control/fault thresholds and debounce remain calibration TBD.</w:t>
            </w:r>
          </w:p>
        </w:tc>
      </w:tr>
      <w:tr>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CAN cyclic work</w:t>
            </w:r>
          </w:p>
        </w:tc>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 status TX and B supervisor/command TX execute on 100 ms application cycle, matching CAN Matrix.</w:t>
            </w:r>
          </w:p>
        </w:tc>
      </w:tr>
      <w:tr>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Priority rule</w:t>
            </w:r>
          </w:p>
        </w:tc>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Set by response-time/deadline/blocking behavior, not by business importance. Exact numeric priorities remain open.</w:t>
            </w:r>
          </w:p>
        </w:tc>
      </w:tr>
      <w:tr>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Mutex policy</w:t>
            </w:r>
          </w:p>
        </w:tc>
        <w:tc>
          <w:tcPr>
            <w:tcW w:type="dxa" w:w="5326"/>
            <w:vAlign w:val="center"/>
          </w:tcPr>
          <w:p>
            <w:pPr>
              <w:spacing w:after="0" w:before="0" w:line="240" w:lineRule="auto"/>
            </w:pPr>
            <w:r>
              <w:rPr>
                <w:rFonts w:ascii="Noto Sans CJK SC" w:hAnsi="Noto Sans CJK SC" w:eastAsia="Noto Sans CJK SC"/>
                <w:sz w:val="14"/>
              </w:rPr>
            </w:r>
            <w:r>
              <w:rPr>
                <w:rFonts w:ascii="Noto Sans CJK SC" w:hAnsi="Noto Sans CJK SC" w:eastAsia="Noto Sans CJK SC"/>
                <w:b w:val="0"/>
                <w:sz w:val="14"/>
              </w:rPr>
              <w:t>Avoid broad shared mutable state; prefer clear data ownership and snapshot transfer. Add Mutex only for a demonstrated shared-resource need.</w:t>
            </w:r>
          </w:p>
        </w:tc>
      </w:tr>
    </w:tbl>
    <w:p>
      <w:pPr>
        <w:pStyle w:val="Heading1"/>
      </w:pPr>
      <w:r>
        <w:t>5. Open Items / Next Step</w:t>
      </w:r>
    </w:p>
    <w:p>
      <w:pPr>
        <w:spacing w:after="40"/>
      </w:pPr>
      <w:r>
        <w:rPr>
          <w:b/>
        </w:rPr>
        <w:t xml:space="preserve">OI-12 is not fully CLOSED yet. </w:t>
      </w:r>
      <w:r>
        <w:t>The task structure and periods above are the current working baseline. The next step is to complete a compact Task Matrix with Inputs / Outputs / Blocking Behavior / IPC object / exact priority values, then close OI-12.</w:t>
      </w:r>
    </w:p>
    <w:p>
      <w:pPr>
        <w:spacing w:after="0"/>
      </w:pPr>
      <w:r>
        <w:rPr>
          <w:b/>
        </w:rPr>
        <w:t xml:space="preserve">Source boundary: </w:t>
      </w:r>
      <w:r>
        <w:t>This document only records the FreeRTOS architecture decisions derived from the existing SAD, Fault List and CAN Matrix. It does not duplicate fault thresholds, CAN signal definitions or diagnostic calibration details.</w:t>
      </w:r>
    </w:p>
    <w:sectPr w:rsidR="00FC693F" w:rsidRPr="0006063C" w:rsidSect="00034616">
      <w:footerReference w:type="default" r:id="rId9"/>
      <w:pgSz w:w="12240" w:h="15840"/>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5"/>
      </w:rPr>
      <w:t>STM32 + FreeRTOS Dual-ECU CAN Project | FreeRTOS Task Architecture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