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60BC" w14:textId="77777777" w:rsidR="006B2978" w:rsidRDefault="006B2978" w:rsidP="006B2978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DengXian" w:eastAsia="DengXian" w:hAnsi="DengXian" w:cs="Calibri" w:hint="eastAsia"/>
          <w:color w:val="000000"/>
          <w:sz w:val="21"/>
          <w:szCs w:val="21"/>
          <w:shd w:val="clear" w:color="auto" w:fill="00FF00"/>
        </w:rPr>
        <w:t>1.TMB</w:t>
      </w:r>
      <w:r>
        <w:rPr>
          <w:rFonts w:ascii="DengXian" w:eastAsia="DengXian" w:hAnsi="DengXian" w:cs="Calibri" w:hint="eastAsia"/>
          <w:color w:val="000000"/>
          <w:sz w:val="27"/>
          <w:szCs w:val="27"/>
          <w:shd w:val="clear" w:color="auto" w:fill="00FF00"/>
        </w:rPr>
        <w:t>去除了</w:t>
      </w:r>
      <w:r>
        <w:rPr>
          <w:rFonts w:ascii="DengXian" w:eastAsia="DengXian" w:hAnsi="DengXian" w:cs="Calibri" w:hint="eastAsia"/>
          <w:color w:val="000000"/>
          <w:sz w:val="21"/>
          <w:szCs w:val="21"/>
          <w:shd w:val="clear" w:color="auto" w:fill="00FF00"/>
        </w:rPr>
        <w:t>Driver</w:t>
      </w:r>
      <w:r>
        <w:rPr>
          <w:rFonts w:ascii="DengXian" w:eastAsia="DengXian" w:hAnsi="DengXian" w:cs="Calibri" w:hint="eastAsia"/>
          <w:color w:val="000000"/>
          <w:sz w:val="27"/>
          <w:szCs w:val="27"/>
          <w:shd w:val="clear" w:color="auto" w:fill="00FF00"/>
        </w:rPr>
        <w:t>突变，都哪些是</w:t>
      </w:r>
      <w:r>
        <w:rPr>
          <w:rFonts w:ascii="DengXian" w:eastAsia="DengXian" w:hAnsi="DengXian" w:cs="Calibri" w:hint="eastAsia"/>
          <w:color w:val="000000"/>
          <w:sz w:val="21"/>
          <w:szCs w:val="21"/>
          <w:shd w:val="clear" w:color="auto" w:fill="00FF00"/>
        </w:rPr>
        <w:t>Driver</w:t>
      </w:r>
      <w:r>
        <w:rPr>
          <w:rFonts w:ascii="DengXian" w:eastAsia="DengXian" w:hAnsi="DengXian" w:cs="Calibri" w:hint="eastAsia"/>
          <w:color w:val="000000"/>
          <w:sz w:val="27"/>
          <w:szCs w:val="27"/>
          <w:shd w:val="clear" w:color="auto" w:fill="00FF00"/>
        </w:rPr>
        <w:t>，怎么定义的？</w:t>
      </w:r>
    </w:p>
    <w:p w14:paraId="7A6F651B" w14:textId="2FEFA663" w:rsidR="006B2978" w:rsidRPr="000B262B" w:rsidRDefault="006B2978" w:rsidP="000B262B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这是报告中“驱动突变”的定义（与肿瘤治疗、诊断、预后密切相关的突变，包括热点突变、药物靶点突变、癌基因功能激活突变和抑癌基因功能失活突变）。这个定义的文章参考来源是什么？</w:t>
      </w:r>
    </w:p>
    <w:p w14:paraId="1C6EFFF3" w14:textId="4D071607" w:rsidR="005A3658" w:rsidRDefault="000B262B">
      <w:pPr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参考文献</w:t>
      </w:r>
      <w:r w:rsidR="00FE5816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如下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：</w:t>
      </w:r>
    </w:p>
    <w:p w14:paraId="1A205F38" w14:textId="2939E4DA" w:rsidR="000B262B" w:rsidRPr="0064011F" w:rsidRDefault="00983AFA">
      <w:pPr>
        <w:rPr>
          <w:rFonts w:ascii="Times New Roman" w:hAnsi="Times New Roman" w:cs="Times New Roman"/>
          <w:lang w:val="en"/>
        </w:rPr>
      </w:pPr>
      <w:proofErr w:type="spellStart"/>
      <w:r w:rsidRPr="000B262B">
        <w:rPr>
          <w:rStyle w:val="element-citation"/>
          <w:rFonts w:ascii="Times New Roman" w:hAnsi="Times New Roman" w:cs="Times New Roman"/>
          <w:lang w:val="en"/>
        </w:rPr>
        <w:t>Pon</w:t>
      </w:r>
      <w:proofErr w:type="spellEnd"/>
      <w:r w:rsidRPr="000B262B">
        <w:rPr>
          <w:rStyle w:val="element-citation"/>
          <w:rFonts w:ascii="Times New Roman" w:hAnsi="Times New Roman" w:cs="Times New Roman"/>
          <w:lang w:val="en"/>
        </w:rPr>
        <w:t xml:space="preserve"> JR, </w:t>
      </w:r>
      <w:proofErr w:type="spellStart"/>
      <w:r w:rsidRPr="000B262B">
        <w:rPr>
          <w:rStyle w:val="element-citation"/>
          <w:rFonts w:ascii="Times New Roman" w:hAnsi="Times New Roman" w:cs="Times New Roman"/>
          <w:lang w:val="en"/>
        </w:rPr>
        <w:t>Marra</w:t>
      </w:r>
      <w:proofErr w:type="spellEnd"/>
      <w:r w:rsidRPr="000B262B">
        <w:rPr>
          <w:rStyle w:val="element-citation"/>
          <w:rFonts w:ascii="Times New Roman" w:hAnsi="Times New Roman" w:cs="Times New Roman"/>
          <w:lang w:val="en"/>
        </w:rPr>
        <w:t xml:space="preserve"> MA. Driver and passenger mutations in cancer. </w:t>
      </w:r>
      <w:proofErr w:type="spellStart"/>
      <w:r w:rsidRPr="000B262B">
        <w:rPr>
          <w:rStyle w:val="element-citation"/>
          <w:rFonts w:ascii="Times New Roman" w:hAnsi="Times New Roman" w:cs="Times New Roman"/>
        </w:rPr>
        <w:t>Annu</w:t>
      </w:r>
      <w:proofErr w:type="spellEnd"/>
      <w:r w:rsidRPr="000B262B">
        <w:rPr>
          <w:rStyle w:val="element-citation"/>
          <w:rFonts w:ascii="Times New Roman" w:hAnsi="Times New Roman" w:cs="Times New Roman"/>
        </w:rPr>
        <w:t xml:space="preserve"> Rev </w:t>
      </w:r>
      <w:proofErr w:type="spellStart"/>
      <w:r w:rsidRPr="000B262B">
        <w:rPr>
          <w:rStyle w:val="element-citation"/>
          <w:rFonts w:ascii="Times New Roman" w:hAnsi="Times New Roman" w:cs="Times New Roman"/>
        </w:rPr>
        <w:t>Pathol</w:t>
      </w:r>
      <w:proofErr w:type="spellEnd"/>
      <w:r w:rsidRPr="000B262B">
        <w:rPr>
          <w:rStyle w:val="element-citation"/>
          <w:rFonts w:ascii="Times New Roman" w:hAnsi="Times New Roman" w:cs="Times New Roman"/>
        </w:rPr>
        <w:t xml:space="preserve">. </w:t>
      </w:r>
      <w:r w:rsidRPr="000B262B">
        <w:rPr>
          <w:rStyle w:val="element-citation"/>
          <w:rFonts w:ascii="Times New Roman" w:hAnsi="Times New Roman" w:cs="Times New Roman"/>
          <w:lang w:val="en"/>
        </w:rPr>
        <w:t>2015;</w:t>
      </w:r>
      <w:r w:rsidRPr="000B262B">
        <w:rPr>
          <w:rStyle w:val="element-citation"/>
          <w:rFonts w:ascii="Times New Roman" w:hAnsi="Times New Roman" w:cs="Times New Roman"/>
        </w:rPr>
        <w:t>10</w:t>
      </w:r>
      <w:r w:rsidRPr="000B262B">
        <w:rPr>
          <w:rStyle w:val="element-citation"/>
          <w:rFonts w:ascii="Times New Roman" w:hAnsi="Times New Roman" w:cs="Times New Roman"/>
          <w:lang w:val="en"/>
        </w:rPr>
        <w:t xml:space="preserve">:25–50. </w:t>
      </w:r>
      <w:proofErr w:type="spellStart"/>
      <w:r w:rsidRPr="000B262B">
        <w:rPr>
          <w:rStyle w:val="element-citation"/>
          <w:rFonts w:ascii="Times New Roman" w:hAnsi="Times New Roman" w:cs="Times New Roman"/>
          <w:lang w:val="en"/>
        </w:rPr>
        <w:t>doi</w:t>
      </w:r>
      <w:proofErr w:type="spellEnd"/>
      <w:r w:rsidRPr="000B262B">
        <w:rPr>
          <w:rStyle w:val="element-citation"/>
          <w:rFonts w:ascii="Times New Roman" w:hAnsi="Times New Roman" w:cs="Times New Roman"/>
          <w:lang w:val="en"/>
        </w:rPr>
        <w:t>: 10.1146/annurev-pathol-012414-040312</w:t>
      </w:r>
    </w:p>
    <w:p w14:paraId="5E2550A8" w14:textId="15C8712B" w:rsidR="0001734C" w:rsidRDefault="00F40349">
      <w:pPr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另外，值得说明的是：</w:t>
      </w:r>
      <w:r w:rsidR="000B262B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对于我们</w:t>
      </w:r>
      <w:r w:rsidR="0001734C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为什么选择去掉d</w:t>
      </w:r>
      <w:r w:rsidR="0001734C"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  <w:t>river</w:t>
      </w:r>
      <w:r w:rsidR="0001734C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突变，也是有根据的</w:t>
      </w:r>
      <w:r w:rsidR="000E26C5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依据</w:t>
      </w:r>
      <w:r w:rsidR="0001734C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如下：</w:t>
      </w:r>
    </w:p>
    <w:p w14:paraId="246A017F" w14:textId="3DB272E0" w:rsidR="000B262B" w:rsidRDefault="000E26C5">
      <w:r>
        <w:rPr>
          <w:noProof/>
        </w:rPr>
        <w:drawing>
          <wp:inline distT="0" distB="0" distL="0" distR="0" wp14:anchorId="0ADF1863" wp14:editId="32674C6E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6B0D" w14:textId="2A201944" w:rsidR="003E2727" w:rsidRDefault="003E2727"/>
    <w:p w14:paraId="2C761547" w14:textId="491B1AE3" w:rsidR="00494862" w:rsidRDefault="00494862"/>
    <w:p w14:paraId="38D1A1DE" w14:textId="77777777" w:rsidR="00494862" w:rsidRDefault="00494862" w:rsidP="00494862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DengXian" w:eastAsia="DengXian" w:hAnsi="DengXian" w:cs="Calibri" w:hint="eastAsia"/>
          <w:color w:val="000000"/>
          <w:sz w:val="21"/>
          <w:szCs w:val="21"/>
          <w:shd w:val="clear" w:color="auto" w:fill="00FF00"/>
        </w:rPr>
        <w:t>2.</w:t>
      </w:r>
      <w:r>
        <w:rPr>
          <w:rFonts w:ascii="DengXian" w:eastAsia="DengXian" w:hAnsi="DengXian" w:cs="Calibri" w:hint="eastAsia"/>
          <w:color w:val="000000"/>
          <w:sz w:val="27"/>
          <w:szCs w:val="27"/>
          <w:shd w:val="clear" w:color="auto" w:fill="00FF00"/>
        </w:rPr>
        <w:t>我们</w:t>
      </w:r>
      <w:r>
        <w:rPr>
          <w:rFonts w:ascii="DengXian" w:eastAsia="DengXian" w:hAnsi="DengXian" w:cs="Calibri" w:hint="eastAsia"/>
          <w:color w:val="000000"/>
          <w:sz w:val="21"/>
          <w:szCs w:val="21"/>
          <w:shd w:val="clear" w:color="auto" w:fill="00FF00"/>
        </w:rPr>
        <w:t>TMB</w:t>
      </w:r>
      <w:r>
        <w:rPr>
          <w:rFonts w:ascii="DengXian" w:eastAsia="DengXian" w:hAnsi="DengXian" w:cs="Calibri" w:hint="eastAsia"/>
          <w:color w:val="000000"/>
          <w:sz w:val="27"/>
          <w:szCs w:val="27"/>
          <w:shd w:val="clear" w:color="auto" w:fill="00FF00"/>
        </w:rPr>
        <w:t>的算法是什么参考依据？</w:t>
      </w:r>
      <w:r>
        <w:rPr>
          <w:rFonts w:ascii="DengXian" w:eastAsia="DengXian" w:hAnsi="DengXian" w:cs="Calibri" w:hint="eastAsia"/>
          <w:color w:val="000000"/>
          <w:sz w:val="21"/>
          <w:szCs w:val="21"/>
          <w:shd w:val="clear" w:color="auto" w:fill="00FF00"/>
        </w:rPr>
        <w:t>FMI</w:t>
      </w:r>
      <w:r>
        <w:rPr>
          <w:rFonts w:ascii="DengXian" w:eastAsia="DengXian" w:hAnsi="DengXian" w:cs="Calibri" w:hint="eastAsia"/>
          <w:color w:val="000000"/>
          <w:sz w:val="27"/>
          <w:szCs w:val="27"/>
          <w:shd w:val="clear" w:color="auto" w:fill="00FF00"/>
        </w:rPr>
        <w:t>？或某些权威文献？</w:t>
      </w:r>
    </w:p>
    <w:p w14:paraId="5D3B9438" w14:textId="77777777" w:rsidR="00494862" w:rsidRDefault="00494862" w:rsidP="00494862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 w:hint="eastAsia"/>
          <w:color w:val="000000"/>
          <w:sz w:val="21"/>
          <w:szCs w:val="21"/>
        </w:rPr>
        <w:t>我们的报告中对</w:t>
      </w:r>
      <w:r>
        <w:rPr>
          <w:rFonts w:ascii="Calibri" w:eastAsia="宋体" w:hAnsi="Calibri" w:cs="Calibri"/>
          <w:color w:val="000000"/>
          <w:sz w:val="21"/>
          <w:szCs w:val="21"/>
        </w:rPr>
        <w:t>TMB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算法描述如下：</w:t>
      </w:r>
    </w:p>
    <w:p w14:paraId="3601CBA0" w14:textId="0D3360FD" w:rsidR="00494862" w:rsidRDefault="00494862" w:rsidP="00494862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18"/>
          <w:szCs w:val="20"/>
        </w:rPr>
        <w:t>“本产品靶向测序区域每百万碱基（Mb）中所发生的体细胞突变数目，单位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20"/>
        </w:rPr>
        <w:t>Muts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20"/>
        </w:rPr>
        <w:t xml:space="preserve"> / Mb。本产品的靶向测序区域大小为2.79Mb， TMB计算的体细胞突变包括点突变和插入/缺失突变（包含同义突变），去除驱动突变（与肿瘤治疗、诊断、预后密切相关的突变，包括热点突变、药物靶点突变、癌基因功能激活突变和抑癌基因功能失活突变）。</w:t>
      </w:r>
      <w:r>
        <w:rPr>
          <w:rFonts w:ascii="Calibri" w:eastAsia="宋体" w:hAnsi="Calibri" w:cs="Calibri"/>
          <w:color w:val="000000"/>
          <w:sz w:val="21"/>
          <w:szCs w:val="21"/>
        </w:rPr>
        <w:t>  ” </w:t>
      </w:r>
    </w:p>
    <w:p w14:paraId="7DED895F" w14:textId="7F6DE043" w:rsidR="00494862" w:rsidRDefault="00494862" w:rsidP="00494862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 w:hint="eastAsia"/>
          <w:color w:val="000000"/>
          <w:sz w:val="21"/>
          <w:szCs w:val="21"/>
        </w:rPr>
        <w:t>这种算法逻辑，是参考的哪几篇文献？</w:t>
      </w:r>
    </w:p>
    <w:p w14:paraId="20E6071B" w14:textId="77777777" w:rsidR="00E52ED9" w:rsidRDefault="00E52ED9" w:rsidP="00494862">
      <w:pPr>
        <w:spacing w:after="0" w:line="240" w:lineRule="auto"/>
        <w:rPr>
          <w:rFonts w:ascii="Calibri" w:eastAsia="宋体" w:hAnsi="Calibri" w:cs="Calibri"/>
          <w:color w:val="000000"/>
          <w:sz w:val="21"/>
          <w:szCs w:val="21"/>
          <w:highlight w:val="yellow"/>
        </w:rPr>
      </w:pPr>
    </w:p>
    <w:p w14:paraId="35415B08" w14:textId="7DAAEA28" w:rsidR="00E52ED9" w:rsidRPr="00E52ED9" w:rsidRDefault="00E52ED9" w:rsidP="00494862">
      <w:pPr>
        <w:spacing w:after="0" w:line="240" w:lineRule="auto"/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 w:rsidRPr="00E52ED9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调研情况如下：</w:t>
      </w:r>
    </w:p>
    <w:tbl>
      <w:tblPr>
        <w:tblW w:w="8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4"/>
        <w:gridCol w:w="850"/>
        <w:gridCol w:w="1252"/>
        <w:gridCol w:w="1715"/>
        <w:gridCol w:w="1674"/>
        <w:gridCol w:w="1975"/>
      </w:tblGrid>
      <w:tr w:rsidR="00E52ED9" w:rsidRPr="00E52ED9" w14:paraId="31C12524" w14:textId="77777777" w:rsidTr="00E52ED9">
        <w:trPr>
          <w:trHeight w:val="4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EC391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FFFFFF" w:themeColor="light1"/>
                <w:kern w:val="24"/>
                <w:sz w:val="16"/>
                <w:szCs w:val="16"/>
              </w:rPr>
              <w:t>癌种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61752E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FFFFFF" w:themeColor="light1"/>
                <w:kern w:val="24"/>
                <w:sz w:val="16"/>
                <w:szCs w:val="16"/>
              </w:rPr>
              <w:t>样本类型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D947F1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FFFFFF" w:themeColor="light1"/>
                <w:kern w:val="24"/>
                <w:sz w:val="16"/>
                <w:szCs w:val="16"/>
              </w:rPr>
              <w:t>检测方法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C76A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FFFFFF" w:themeColor="light1"/>
                <w:kern w:val="24"/>
                <w:sz w:val="16"/>
                <w:szCs w:val="16"/>
              </w:rPr>
              <w:t>芯片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DF55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FFFFFF" w:themeColor="light1"/>
                <w:kern w:val="24"/>
                <w:sz w:val="16"/>
                <w:szCs w:val="16"/>
              </w:rPr>
              <w:t>检测突变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BB811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FFFFFF" w:themeColor="light1"/>
                <w:kern w:val="24"/>
                <w:sz w:val="16"/>
                <w:szCs w:val="16"/>
              </w:rPr>
              <w:t>排除</w:t>
            </w:r>
          </w:p>
        </w:tc>
      </w:tr>
      <w:tr w:rsidR="00E52ED9" w:rsidRPr="00E52ED9" w14:paraId="37D02010" w14:textId="77777777" w:rsidTr="00E52ED9">
        <w:trPr>
          <w:trHeight w:val="631"/>
        </w:trPr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A9C0F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CRC</w:t>
            </w: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01DE50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FFPE</w:t>
            </w:r>
          </w:p>
        </w:tc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BA8E5C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目标序列捕获测序</w:t>
            </w:r>
          </w:p>
        </w:tc>
        <w:tc>
          <w:tcPr>
            <w:tcW w:w="1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43D76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MSK-IMPAC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E689C6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所有非沉默突变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0235B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germline alterations（BC）、</w:t>
            </w:r>
          </w:p>
          <w:p w14:paraId="5E993D43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CNV、SV</w:t>
            </w:r>
          </w:p>
        </w:tc>
      </w:tr>
      <w:tr w:rsidR="00E52ED9" w:rsidRPr="00E52ED9" w14:paraId="11FEE731" w14:textId="77777777" w:rsidTr="00E52ED9">
        <w:trPr>
          <w:trHeight w:val="4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ACECB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NSCLC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8C1871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TISSUE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26099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全外显子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0943C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无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3CD04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所有体细胞</w:t>
            </w:r>
          </w:p>
          <w:p w14:paraId="532CD8CF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lastRenderedPageBreak/>
              <w:t>非同义突变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866C8A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lastRenderedPageBreak/>
              <w:t>无</w:t>
            </w:r>
          </w:p>
        </w:tc>
      </w:tr>
      <w:tr w:rsidR="00E52ED9" w:rsidRPr="00E52ED9" w14:paraId="09203C55" w14:textId="77777777" w:rsidTr="00E52ED9">
        <w:trPr>
          <w:trHeight w:val="1135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F7FC6B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Urothelial carcinoma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9B88DD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FFPE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DE40A7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目标序列捕获测序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3339D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Foundation</w:t>
            </w:r>
          </w:p>
          <w:p w14:paraId="7CBFEBEB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ONE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CA8710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所有可编码的、短的、可变的改变个数，</w:t>
            </w:r>
          </w:p>
          <w:p w14:paraId="19AC51D9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包括碱基替换、indel 、同义突变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CCADEE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germline alterations</w:t>
            </w:r>
          </w:p>
          <w:p w14:paraId="01392A81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&amp;功能性突变</w:t>
            </w:r>
          </w:p>
        </w:tc>
      </w:tr>
      <w:tr w:rsidR="00E52ED9" w:rsidRPr="00E52ED9" w14:paraId="7C3B0E9E" w14:textId="77777777" w:rsidTr="00E52ED9">
        <w:trPr>
          <w:trHeight w:val="4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B74C76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LC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D0B6F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FFPE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AC990F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目标序列捕获测序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8B87A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未知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4A0CF7" w14:textId="77777777" w:rsidR="00E52ED9" w:rsidRPr="00E52ED9" w:rsidRDefault="00E52ED9" w:rsidP="00E52ED9">
            <w:pPr>
              <w:spacing w:after="0" w:line="240" w:lineRule="auto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体细胞的编码碱基替换和indel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0481C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无</w:t>
            </w:r>
          </w:p>
        </w:tc>
      </w:tr>
      <w:tr w:rsidR="00E52ED9" w:rsidRPr="00E52ED9" w14:paraId="43D478BD" w14:textId="77777777" w:rsidTr="00E52ED9">
        <w:trPr>
          <w:trHeight w:val="967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CC94D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Ⅳ期实体瘤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B332DC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TISSUE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B3225A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目标序列捕获测序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39A273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proofErr w:type="spellStart"/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FoundationONE</w:t>
            </w:r>
            <w:proofErr w:type="spellEnd"/>
          </w:p>
          <w:p w14:paraId="5D19E1C1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i/>
                <w:iCs/>
                <w:color w:val="000000" w:themeColor="dark1"/>
                <w:kern w:val="24"/>
                <w:sz w:val="16"/>
                <w:szCs w:val="16"/>
              </w:rPr>
              <w:t>&amp;Guardant360</w:t>
            </w:r>
          </w:p>
          <w:p w14:paraId="44F689FF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i/>
                <w:iCs/>
                <w:color w:val="000000" w:themeColor="dark1"/>
                <w:kern w:val="24"/>
                <w:sz w:val="16"/>
                <w:szCs w:val="16"/>
              </w:rPr>
              <w:t>&amp;</w:t>
            </w:r>
            <w:proofErr w:type="spellStart"/>
            <w:r w:rsidRPr="00E52ED9">
              <w:rPr>
                <w:rFonts w:ascii="微软雅黑" w:eastAsia="微软雅黑" w:hAnsi="微软雅黑" w:cs="Arial" w:hint="eastAsia"/>
                <w:b/>
                <w:bCs/>
                <w:i/>
                <w:iCs/>
                <w:color w:val="000000" w:themeColor="dark1"/>
                <w:kern w:val="24"/>
                <w:sz w:val="16"/>
                <w:szCs w:val="16"/>
              </w:rPr>
              <w:t>Caris</w:t>
            </w:r>
            <w:proofErr w:type="spellEnd"/>
          </w:p>
          <w:p w14:paraId="4118D028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i/>
                <w:iCs/>
                <w:color w:val="000000" w:themeColor="dark1"/>
                <w:kern w:val="24"/>
                <w:sz w:val="16"/>
                <w:szCs w:val="16"/>
              </w:rPr>
              <w:t>Life Sciences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F6642C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总基因组变化、（预测或非预测的）恶性\良性突变、VUS、其他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6DDD6D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同义突变</w:t>
            </w:r>
          </w:p>
        </w:tc>
      </w:tr>
      <w:tr w:rsidR="00E52ED9" w:rsidRPr="00E52ED9" w14:paraId="2CAC9A0E" w14:textId="77777777" w:rsidTr="00E52ED9">
        <w:trPr>
          <w:trHeight w:val="4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28B1D8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Melanoma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B7460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TISSUE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EC5699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全外显子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30F9C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无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3AC052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所有体细胞</w:t>
            </w:r>
          </w:p>
          <w:p w14:paraId="2BF0CBCD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非同义突变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75249" w14:textId="77777777" w:rsidR="00E52ED9" w:rsidRPr="00E52ED9" w:rsidRDefault="00E52ED9" w:rsidP="00E52ED9">
            <w:pPr>
              <w:spacing w:after="0" w:line="240" w:lineRule="auto"/>
              <w:jc w:val="center"/>
              <w:rPr>
                <w:rFonts w:ascii="Arial" w:eastAsia="宋体" w:hAnsi="Arial" w:cs="Arial"/>
                <w:sz w:val="36"/>
                <w:szCs w:val="36"/>
              </w:rPr>
            </w:pPr>
            <w:proofErr w:type="spellStart"/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>Gernline</w:t>
            </w:r>
            <w:proofErr w:type="spellEnd"/>
            <w:r w:rsidRPr="00E52ED9">
              <w:rPr>
                <w:rFonts w:ascii="微软雅黑" w:eastAsia="微软雅黑" w:hAnsi="微软雅黑" w:cs="Arial" w:hint="eastAsia"/>
                <w:b/>
                <w:bCs/>
                <w:color w:val="000000" w:themeColor="dark1"/>
                <w:kern w:val="24"/>
                <w:sz w:val="16"/>
                <w:szCs w:val="16"/>
              </w:rPr>
              <w:t xml:space="preserve"> alternations (BC)</w:t>
            </w:r>
          </w:p>
        </w:tc>
      </w:tr>
    </w:tbl>
    <w:p w14:paraId="442E6301" w14:textId="1484A451" w:rsidR="00E52ED9" w:rsidRDefault="00E52ED9" w:rsidP="00494862">
      <w:pPr>
        <w:spacing w:after="0" w:line="240" w:lineRule="auto"/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 w:rsidRPr="00E52ED9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最终纳入同义突变，主要的参考文献</w:t>
      </w:r>
      <w:r w:rsidR="00387926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1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：</w:t>
      </w:r>
    </w:p>
    <w:p w14:paraId="7CCF7E9B" w14:textId="3FA07EFC" w:rsidR="00E52ED9" w:rsidRPr="00387926" w:rsidRDefault="00E52ED9" w:rsidP="00494862">
      <w:pPr>
        <w:spacing w:after="0" w:line="240" w:lineRule="auto"/>
        <w:rPr>
          <w:rFonts w:ascii="Times New Roman" w:hAnsi="Times New Roman" w:cs="Times New Roman"/>
          <w:lang w:val="en"/>
        </w:rPr>
      </w:pPr>
      <w:r w:rsidRPr="00477AE7">
        <w:rPr>
          <w:rStyle w:val="element-citation"/>
          <w:rFonts w:ascii="Times New Roman" w:hAnsi="Times New Roman" w:cs="Times New Roman"/>
          <w:lang w:val="en"/>
        </w:rPr>
        <w:t xml:space="preserve">Chalmers ZR, et al. Analysis of 100,000 human cancer genomes reveals the landscape of tumor mutational burden. </w:t>
      </w:r>
      <w:r w:rsidRPr="00477AE7">
        <w:rPr>
          <w:rStyle w:val="element-citation"/>
          <w:rFonts w:ascii="Times New Roman" w:hAnsi="Times New Roman" w:cs="Times New Roman"/>
        </w:rPr>
        <w:t xml:space="preserve">Genome Med. </w:t>
      </w:r>
      <w:r w:rsidRPr="00477AE7">
        <w:rPr>
          <w:rStyle w:val="element-citation"/>
          <w:rFonts w:ascii="Times New Roman" w:hAnsi="Times New Roman" w:cs="Times New Roman"/>
          <w:lang w:val="en"/>
        </w:rPr>
        <w:t>2017;</w:t>
      </w:r>
      <w:r w:rsidRPr="00477AE7">
        <w:rPr>
          <w:rStyle w:val="element-citation"/>
          <w:rFonts w:ascii="Times New Roman" w:hAnsi="Times New Roman" w:cs="Times New Roman"/>
        </w:rPr>
        <w:t>9</w:t>
      </w:r>
      <w:r w:rsidRPr="00477AE7">
        <w:rPr>
          <w:rStyle w:val="element-citation"/>
          <w:rFonts w:ascii="Times New Roman" w:hAnsi="Times New Roman" w:cs="Times New Roman"/>
          <w:lang w:val="en"/>
        </w:rPr>
        <w:t xml:space="preserve">:34. </w:t>
      </w:r>
      <w:proofErr w:type="spellStart"/>
      <w:r w:rsidRPr="00477AE7">
        <w:rPr>
          <w:rStyle w:val="element-citation"/>
          <w:rFonts w:ascii="Times New Roman" w:hAnsi="Times New Roman" w:cs="Times New Roman"/>
          <w:lang w:val="en"/>
        </w:rPr>
        <w:t>doi</w:t>
      </w:r>
      <w:proofErr w:type="spellEnd"/>
      <w:r w:rsidRPr="00477AE7">
        <w:rPr>
          <w:rStyle w:val="element-citation"/>
          <w:rFonts w:ascii="Times New Roman" w:hAnsi="Times New Roman" w:cs="Times New Roman"/>
          <w:lang w:val="en"/>
        </w:rPr>
        <w:t>: 10.1186/s13073-017-0424-2.</w:t>
      </w:r>
    </w:p>
    <w:p w14:paraId="54ABAFEB" w14:textId="19B54746" w:rsidR="00E52ED9" w:rsidRDefault="00E52ED9" w:rsidP="00494862">
      <w:pPr>
        <w:spacing w:after="0" w:line="240" w:lineRule="auto"/>
        <w:rPr>
          <w:rFonts w:hAnsi="DengXian"/>
          <w:color w:val="385623" w:themeColor="accent6" w:themeShade="80"/>
          <w:kern w:val="24"/>
          <w:sz w:val="21"/>
          <w:szCs w:val="21"/>
        </w:rPr>
      </w:pPr>
      <w:bookmarkStart w:id="0" w:name="OLE_LINK1"/>
      <w:bookmarkStart w:id="1" w:name="OLE_LINK2"/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相关描述如下</w:t>
      </w:r>
      <w:bookmarkEnd w:id="0"/>
      <w:bookmarkEnd w:id="1"/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：</w:t>
      </w:r>
      <w:r w:rsidR="00387926">
        <w:rPr>
          <w:rFonts w:hAnsi="DengXian" w:hint="eastAsia"/>
          <w:color w:val="385623" w:themeColor="accent6" w:themeShade="80"/>
          <w:kern w:val="24"/>
          <w:sz w:val="21"/>
          <w:szCs w:val="21"/>
        </w:rPr>
        <w:t>Synonymous mutations are counted in order to reduce sampling noise. While synonymous mutations are not likely to be directly involved in creating immunogenicity, their presence is a signal of mutational processes that will also have resulted in nonsynonymous mutations and neoantigens elsewhere in the genome. Non-coding alterations were not counted</w:t>
      </w:r>
    </w:p>
    <w:p w14:paraId="60B2D633" w14:textId="77777777" w:rsidR="00260A7B" w:rsidRDefault="00260A7B" w:rsidP="00260A7B">
      <w:pPr>
        <w:spacing w:after="0" w:line="240" w:lineRule="auto"/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 w:rsidRPr="00E52ED9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最终纳入同义突变，主要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依据2（</w:t>
      </w:r>
      <w:r w:rsidRPr="00130C26">
        <w:rPr>
          <w:rFonts w:ascii="微软雅黑" w:eastAsia="微软雅黑" w:hAnsi="微软雅黑" w:cs="Calibri" w:hint="eastAsia"/>
          <w:color w:val="FF0000"/>
          <w:sz w:val="18"/>
          <w:szCs w:val="18"/>
          <w:shd w:val="clear" w:color="auto" w:fill="FFFF00"/>
        </w:rPr>
        <w:t>FM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）：</w:t>
      </w:r>
    </w:p>
    <w:p w14:paraId="47D04AC1" w14:textId="77777777" w:rsidR="00260A7B" w:rsidRDefault="00260A7B" w:rsidP="00260A7B">
      <w:pPr>
        <w:widowControl w:val="0"/>
        <w:autoSpaceDE w:val="0"/>
        <w:autoSpaceDN w:val="0"/>
        <w:adjustRightInd w:val="0"/>
        <w:spacing w:after="0" w:line="240" w:lineRule="auto"/>
        <w:rPr>
          <w:rFonts w:hAnsi="DengXian"/>
          <w:color w:val="385623" w:themeColor="accent6" w:themeShade="80"/>
          <w:kern w:val="24"/>
          <w:sz w:val="21"/>
          <w:szCs w:val="21"/>
        </w:rPr>
      </w:pPr>
      <w:r w:rsidRPr="00111EFB">
        <w:rPr>
          <w:rFonts w:hAnsi="DengXian"/>
          <w:color w:val="385623" w:themeColor="accent6" w:themeShade="80"/>
          <w:kern w:val="24"/>
          <w:sz w:val="21"/>
          <w:szCs w:val="21"/>
        </w:rPr>
        <w:t>TMB by F1CDx is defined based on counting the total number of all synonymous and non-synonymous</w:t>
      </w:r>
      <w:r>
        <w:rPr>
          <w:rFonts w:hAnsi="DengXian" w:hint="eastAsia"/>
          <w:color w:val="385623" w:themeColor="accent6" w:themeShade="80"/>
          <w:kern w:val="24"/>
          <w:sz w:val="21"/>
          <w:szCs w:val="21"/>
        </w:rPr>
        <w:t xml:space="preserve"> </w:t>
      </w:r>
      <w:r w:rsidRPr="00111EFB">
        <w:rPr>
          <w:rFonts w:hAnsi="DengXian"/>
          <w:color w:val="385623" w:themeColor="accent6" w:themeShade="80"/>
          <w:kern w:val="24"/>
          <w:sz w:val="21"/>
          <w:szCs w:val="21"/>
        </w:rPr>
        <w:t xml:space="preserve">variants present at 5% allele frequency or greater (after filtering) and reported as mutations per </w:t>
      </w:r>
      <w:proofErr w:type="spellStart"/>
      <w:r w:rsidRPr="00111EFB">
        <w:rPr>
          <w:rFonts w:hAnsi="DengXian"/>
          <w:color w:val="385623" w:themeColor="accent6" w:themeShade="80"/>
          <w:kern w:val="24"/>
          <w:sz w:val="21"/>
          <w:szCs w:val="21"/>
        </w:rPr>
        <w:t>megabase</w:t>
      </w:r>
      <w:proofErr w:type="spellEnd"/>
      <w:r>
        <w:rPr>
          <w:rFonts w:hAnsi="DengXian" w:hint="eastAsia"/>
          <w:color w:val="385623" w:themeColor="accent6" w:themeShade="80"/>
          <w:kern w:val="24"/>
          <w:sz w:val="21"/>
          <w:szCs w:val="21"/>
        </w:rPr>
        <w:t xml:space="preserve"> </w:t>
      </w:r>
      <w:r w:rsidRPr="00111EFB">
        <w:rPr>
          <w:rFonts w:hAnsi="DengXian"/>
          <w:color w:val="385623" w:themeColor="accent6" w:themeShade="80"/>
          <w:kern w:val="24"/>
          <w:sz w:val="21"/>
          <w:szCs w:val="21"/>
        </w:rPr>
        <w:t>(</w:t>
      </w:r>
      <w:proofErr w:type="spellStart"/>
      <w:r w:rsidRPr="00111EFB">
        <w:rPr>
          <w:rFonts w:hAnsi="DengXian"/>
          <w:color w:val="385623" w:themeColor="accent6" w:themeShade="80"/>
          <w:kern w:val="24"/>
          <w:sz w:val="21"/>
          <w:szCs w:val="21"/>
        </w:rPr>
        <w:t>mut</w:t>
      </w:r>
      <w:proofErr w:type="spellEnd"/>
      <w:r w:rsidRPr="00111EFB">
        <w:rPr>
          <w:rFonts w:hAnsi="DengXian"/>
          <w:color w:val="385623" w:themeColor="accent6" w:themeShade="80"/>
          <w:kern w:val="24"/>
          <w:sz w:val="21"/>
          <w:szCs w:val="21"/>
        </w:rPr>
        <w:t>/Mb) unit. The clinical validity of TMB defined by this panel has not been established.</w:t>
      </w:r>
    </w:p>
    <w:p w14:paraId="1CD09AFE" w14:textId="77777777" w:rsidR="00260A7B" w:rsidRDefault="00260A7B" w:rsidP="00260A7B">
      <w:pPr>
        <w:widowControl w:val="0"/>
        <w:autoSpaceDE w:val="0"/>
        <w:autoSpaceDN w:val="0"/>
        <w:adjustRightInd w:val="0"/>
        <w:spacing w:after="0" w:line="240" w:lineRule="auto"/>
        <w:rPr>
          <w:rFonts w:hAnsi="DengXian"/>
          <w:color w:val="385623" w:themeColor="accent6" w:themeShade="80"/>
          <w:kern w:val="24"/>
          <w:sz w:val="21"/>
          <w:szCs w:val="21"/>
        </w:rPr>
      </w:pPr>
      <w:r w:rsidRPr="00E52ED9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最终纳入同义突变，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主要依据3（FM）</w:t>
      </w:r>
    </w:p>
    <w:p w14:paraId="09D6C3B1" w14:textId="77777777" w:rsidR="00260A7B" w:rsidRDefault="00260A7B" w:rsidP="00260A7B">
      <w:pPr>
        <w:widowControl w:val="0"/>
        <w:autoSpaceDE w:val="0"/>
        <w:autoSpaceDN w:val="0"/>
        <w:adjustRightInd w:val="0"/>
        <w:spacing w:after="0" w:line="240" w:lineRule="auto"/>
        <w:rPr>
          <w:rStyle w:val="element-citation"/>
          <w:rFonts w:ascii="Times New Roman" w:hAnsi="Times New Roman" w:cs="Times New Roman"/>
          <w:lang w:val="en"/>
        </w:rPr>
      </w:pPr>
      <w:r w:rsidRPr="00CB2564">
        <w:rPr>
          <w:rStyle w:val="element-citation"/>
          <w:rFonts w:ascii="Times New Roman" w:hAnsi="Times New Roman" w:cs="Times New Roman"/>
          <w:lang w:val="en"/>
        </w:rPr>
        <w:t xml:space="preserve">Rosenberg JE, et al. </w:t>
      </w:r>
      <w:proofErr w:type="spellStart"/>
      <w:r w:rsidRPr="00CB2564">
        <w:rPr>
          <w:rStyle w:val="element-citation"/>
          <w:rFonts w:ascii="Times New Roman" w:hAnsi="Times New Roman" w:cs="Times New Roman"/>
          <w:lang w:val="en"/>
        </w:rPr>
        <w:t>Atezolizumab</w:t>
      </w:r>
      <w:proofErr w:type="spellEnd"/>
      <w:r w:rsidRPr="00CB2564">
        <w:rPr>
          <w:rStyle w:val="element-citation"/>
          <w:rFonts w:ascii="Times New Roman" w:hAnsi="Times New Roman" w:cs="Times New Roman"/>
          <w:lang w:val="en"/>
        </w:rPr>
        <w:t xml:space="preserve"> in patients with locally advanced and metastatic urothelial carcinoma who have progressed following treatment with platinum-based chemotherapy: a single-arm, </w:t>
      </w:r>
      <w:proofErr w:type="spellStart"/>
      <w:r w:rsidRPr="00CB2564">
        <w:rPr>
          <w:rStyle w:val="element-citation"/>
          <w:rFonts w:ascii="Times New Roman" w:hAnsi="Times New Roman" w:cs="Times New Roman"/>
          <w:lang w:val="en"/>
        </w:rPr>
        <w:t>multicentre</w:t>
      </w:r>
      <w:proofErr w:type="spellEnd"/>
      <w:r w:rsidRPr="00CB2564">
        <w:rPr>
          <w:rStyle w:val="element-citation"/>
          <w:rFonts w:ascii="Times New Roman" w:hAnsi="Times New Roman" w:cs="Times New Roman"/>
          <w:lang w:val="en"/>
        </w:rPr>
        <w:t xml:space="preserve">, phase 2 trial. </w:t>
      </w:r>
      <w:r w:rsidRPr="00CB2564">
        <w:rPr>
          <w:rStyle w:val="element-citation"/>
          <w:rFonts w:ascii="Times New Roman" w:hAnsi="Times New Roman" w:cs="Times New Roman"/>
        </w:rPr>
        <w:t xml:space="preserve">Lancet. </w:t>
      </w:r>
      <w:r w:rsidRPr="00CB2564">
        <w:rPr>
          <w:rStyle w:val="element-citation"/>
          <w:rFonts w:ascii="Times New Roman" w:hAnsi="Times New Roman" w:cs="Times New Roman"/>
          <w:lang w:val="en"/>
        </w:rPr>
        <w:t>2016;</w:t>
      </w:r>
      <w:r w:rsidRPr="00CB2564">
        <w:rPr>
          <w:rStyle w:val="element-citation"/>
          <w:rFonts w:ascii="Times New Roman" w:hAnsi="Times New Roman" w:cs="Times New Roman"/>
        </w:rPr>
        <w:t>387</w:t>
      </w:r>
      <w:r w:rsidRPr="00CB2564">
        <w:rPr>
          <w:rStyle w:val="element-citation"/>
          <w:rFonts w:ascii="Times New Roman" w:hAnsi="Times New Roman" w:cs="Times New Roman"/>
          <w:lang w:val="en"/>
        </w:rPr>
        <w:t>(10031):1909–1920</w:t>
      </w:r>
    </w:p>
    <w:p w14:paraId="0F1E005F" w14:textId="77777777" w:rsidR="00260A7B" w:rsidRPr="00CB2564" w:rsidRDefault="00260A7B" w:rsidP="00260A7B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 w:rsidRPr="00CB2564"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  <w:t>相关描述如下：</w:t>
      </w:r>
    </w:p>
    <w:p w14:paraId="0D00F04A" w14:textId="77777777" w:rsidR="00260A7B" w:rsidRDefault="00260A7B" w:rsidP="00260A7B">
      <w:pPr>
        <w:widowControl w:val="0"/>
        <w:autoSpaceDE w:val="0"/>
        <w:autoSpaceDN w:val="0"/>
        <w:adjustRightInd w:val="0"/>
        <w:spacing w:after="0" w:line="240" w:lineRule="auto"/>
        <w:rPr>
          <w:rFonts w:hAnsi="DengXian"/>
          <w:color w:val="385623" w:themeColor="accent6" w:themeShade="80"/>
          <w:kern w:val="24"/>
          <w:sz w:val="21"/>
          <w:szCs w:val="21"/>
        </w:rPr>
      </w:pPr>
      <w:bookmarkStart w:id="2" w:name="_GoBack"/>
      <w:r w:rsidRPr="00CB2564">
        <w:rPr>
          <w:rFonts w:hAnsi="DengXian"/>
          <w:noProof/>
          <w:color w:val="385623" w:themeColor="accent6" w:themeShade="80"/>
          <w:kern w:val="24"/>
          <w:sz w:val="21"/>
          <w:szCs w:val="21"/>
        </w:rPr>
        <w:lastRenderedPageBreak/>
        <w:drawing>
          <wp:inline distT="0" distB="0" distL="0" distR="0" wp14:anchorId="749B6B14" wp14:editId="0967D46E">
            <wp:extent cx="5274310" cy="2326005"/>
            <wp:effectExtent l="0" t="0" r="2540" b="0"/>
            <wp:docPr id="2" name="图片 2" descr="C:\Users\WANGCH~1\AppData\Local\Temp\WeChat Files\53f64aab81666564ddec28da7b955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CH~1\AppData\Local\Temp\WeChat Files\53f64aab81666564ddec28da7b955f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80F0E10" w14:textId="77777777" w:rsidR="00260A7B" w:rsidRPr="00F71407" w:rsidRDefault="00260A7B" w:rsidP="00260A7B">
      <w:pPr>
        <w:widowControl w:val="0"/>
        <w:autoSpaceDE w:val="0"/>
        <w:autoSpaceDN w:val="0"/>
        <w:adjustRightInd w:val="0"/>
        <w:spacing w:after="0" w:line="240" w:lineRule="auto"/>
        <w:rPr>
          <w:rFonts w:hAnsi="DengXian"/>
          <w:color w:val="385623" w:themeColor="accent6" w:themeShade="80"/>
          <w:kern w:val="24"/>
          <w:sz w:val="21"/>
          <w:szCs w:val="21"/>
        </w:rPr>
      </w:pPr>
    </w:p>
    <w:p w14:paraId="5A7C08CB" w14:textId="77777777" w:rsidR="00260A7B" w:rsidRPr="00E52ED9" w:rsidRDefault="00260A7B" w:rsidP="00494862">
      <w:pPr>
        <w:spacing w:after="0" w:line="240" w:lineRule="auto"/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</w:pPr>
    </w:p>
    <w:p w14:paraId="0FE024A0" w14:textId="0250439E" w:rsidR="00D02982" w:rsidRDefault="00D02982" w:rsidP="00D02982">
      <w:pPr>
        <w:spacing w:after="0" w:line="240" w:lineRule="auto"/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</w:pPr>
      <w:r w:rsidRPr="00E52ED9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最终纳入同义突变，主要的参考文献</w:t>
      </w:r>
      <w:r w:rsidR="00260A7B">
        <w:rPr>
          <w:rFonts w:ascii="微软雅黑" w:eastAsia="微软雅黑" w:hAnsi="微软雅黑" w:cs="Calibri"/>
          <w:color w:val="000000"/>
          <w:sz w:val="18"/>
          <w:szCs w:val="18"/>
          <w:shd w:val="clear" w:color="auto" w:fill="FFFF00"/>
        </w:rPr>
        <w:t>4</w:t>
      </w:r>
      <w:r w:rsidR="00130C26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（</w:t>
      </w:r>
      <w:r w:rsidR="00130C26" w:rsidRPr="00130C26">
        <w:rPr>
          <w:rFonts w:ascii="微软雅黑" w:eastAsia="微软雅黑" w:hAnsi="微软雅黑" w:cs="Calibri" w:hint="eastAsia"/>
          <w:color w:val="FF0000"/>
          <w:sz w:val="18"/>
          <w:szCs w:val="18"/>
          <w:shd w:val="clear" w:color="auto" w:fill="FFFF00"/>
        </w:rPr>
        <w:t>FM</w:t>
      </w:r>
      <w:r w:rsidR="00130C26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）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：</w:t>
      </w:r>
    </w:p>
    <w:p w14:paraId="1D177FB2" w14:textId="77777777" w:rsidR="00BC61E4" w:rsidRPr="00BC61E4" w:rsidRDefault="00BC61E4" w:rsidP="00BC61E4">
      <w:pPr>
        <w:spacing w:after="0" w:line="240" w:lineRule="auto"/>
        <w:rPr>
          <w:rStyle w:val="element-citation"/>
          <w:rFonts w:ascii="Times New Roman" w:hAnsi="Times New Roman" w:cs="Times New Roman"/>
          <w:lang w:val="en"/>
        </w:rPr>
      </w:pPr>
      <w:r w:rsidRPr="00BC61E4">
        <w:rPr>
          <w:rStyle w:val="element-citation"/>
          <w:rFonts w:ascii="Times New Roman" w:hAnsi="Times New Roman" w:cs="Times New Roman"/>
          <w:lang w:val="en"/>
        </w:rPr>
        <w:t xml:space="preserve">Han Chang, Ariella </w:t>
      </w: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Sasson</w:t>
      </w:r>
      <w:proofErr w:type="spellEnd"/>
      <w:r w:rsidRPr="00BC61E4">
        <w:rPr>
          <w:rStyle w:val="element-citation"/>
          <w:rFonts w:ascii="Times New Roman" w:hAnsi="Times New Roman" w:cs="Times New Roman"/>
          <w:lang w:val="en"/>
        </w:rPr>
        <w:t xml:space="preserve">, </w:t>
      </w: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Sujaya</w:t>
      </w:r>
      <w:proofErr w:type="spellEnd"/>
      <w:r w:rsidRPr="00BC61E4">
        <w:rPr>
          <w:rStyle w:val="element-citation"/>
          <w:rFonts w:ascii="Times New Roman" w:hAnsi="Times New Roman" w:cs="Times New Roman"/>
          <w:lang w:val="en"/>
        </w:rPr>
        <w:t xml:space="preserve"> Srinivasan, Ryan </w:t>
      </w: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Golhar</w:t>
      </w:r>
      <w:proofErr w:type="spellEnd"/>
      <w:r w:rsidRPr="00BC61E4">
        <w:rPr>
          <w:rStyle w:val="element-citation"/>
          <w:rFonts w:ascii="Times New Roman" w:hAnsi="Times New Roman" w:cs="Times New Roman"/>
          <w:lang w:val="en"/>
        </w:rPr>
        <w:t xml:space="preserve">, Danielle M. Greenawalt, William J. Geese, George Green, Kim </w:t>
      </w: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Zerba</w:t>
      </w:r>
      <w:proofErr w:type="spellEnd"/>
      <w:r w:rsidRPr="00BC61E4">
        <w:rPr>
          <w:rStyle w:val="element-citation"/>
          <w:rFonts w:ascii="Times New Roman" w:hAnsi="Times New Roman" w:cs="Times New Roman"/>
          <w:lang w:val="en"/>
        </w:rPr>
        <w:t xml:space="preserve">, Stefan Kirov, Joseph </w:t>
      </w: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Szustakowski</w:t>
      </w:r>
      <w:proofErr w:type="spellEnd"/>
    </w:p>
    <w:p w14:paraId="298A94C0" w14:textId="77777777" w:rsidR="00BC61E4" w:rsidRPr="00BC61E4" w:rsidRDefault="00BC61E4" w:rsidP="00BC61E4">
      <w:pPr>
        <w:spacing w:after="0" w:line="240" w:lineRule="auto"/>
        <w:rPr>
          <w:rStyle w:val="element-citation"/>
          <w:rFonts w:ascii="Times New Roman" w:hAnsi="Times New Roman" w:cs="Times New Roman"/>
          <w:lang w:val="en"/>
        </w:rPr>
      </w:pP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bioRxiv</w:t>
      </w:r>
      <w:proofErr w:type="spellEnd"/>
      <w:r w:rsidRPr="00BC61E4">
        <w:rPr>
          <w:rStyle w:val="element-citation"/>
          <w:rFonts w:ascii="Times New Roman" w:hAnsi="Times New Roman" w:cs="Times New Roman"/>
          <w:lang w:val="en"/>
        </w:rPr>
        <w:t xml:space="preserve"> 626143; </w:t>
      </w:r>
      <w:proofErr w:type="spellStart"/>
      <w:r w:rsidRPr="00BC61E4">
        <w:rPr>
          <w:rStyle w:val="element-citation"/>
          <w:rFonts w:ascii="Times New Roman" w:hAnsi="Times New Roman" w:cs="Times New Roman"/>
          <w:lang w:val="en"/>
        </w:rPr>
        <w:t>doi</w:t>
      </w:r>
      <w:proofErr w:type="spellEnd"/>
      <w:r w:rsidRPr="00BC61E4">
        <w:rPr>
          <w:rStyle w:val="element-citation"/>
          <w:rFonts w:ascii="Times New Roman" w:hAnsi="Times New Roman" w:cs="Times New Roman"/>
          <w:lang w:val="en"/>
        </w:rPr>
        <w:t xml:space="preserve">: https://doi.org/10.1101/626143 </w:t>
      </w:r>
    </w:p>
    <w:p w14:paraId="3E9D8BC4" w14:textId="5978E7C4" w:rsidR="00BC61E4" w:rsidRDefault="00BC61E4" w:rsidP="00BC61E4">
      <w:pPr>
        <w:spacing w:after="0" w:line="240" w:lineRule="auto"/>
        <w:rPr>
          <w:rFonts w:hAnsi="DengXian"/>
          <w:color w:val="385623" w:themeColor="accent6" w:themeShade="80"/>
          <w:kern w:val="24"/>
          <w:sz w:val="21"/>
          <w:szCs w:val="21"/>
        </w:rPr>
      </w:pPr>
      <w:r w:rsidRPr="00BC61E4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00"/>
        </w:rPr>
        <w:t>相关描述如下：</w:t>
      </w:r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TMB scores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comprisingsynonymous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, indel, frameshift, and nonsense mutations (all mutations) were 3.1-fold higher than data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includingmissense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mutations only, but values were highly correlated (Spearman’s r=0.99).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Scoresfrom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CheckMate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026 samples including missense mutations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onlywere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similar to those generated from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datain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The Cancer Genome Atlas, but those including all mutations were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generallyhigher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. Using databases for germline subtraction (instead of matched controls) showed a trend for race-dependent increases in TMB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scores.WES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and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FoundationOne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</w:t>
      </w:r>
      <w:proofErr w:type="spellStart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>CDx</w:t>
      </w:r>
      <w:proofErr w:type="spellEnd"/>
      <w:r w:rsidRPr="00BC61E4">
        <w:rPr>
          <w:rFonts w:hAnsi="DengXian"/>
          <w:color w:val="385623" w:themeColor="accent6" w:themeShade="80"/>
          <w:kern w:val="24"/>
          <w:sz w:val="21"/>
          <w:szCs w:val="21"/>
        </w:rPr>
        <w:t xml:space="preserve"> outputs were highly correlated (Spearman’s r = 0.90).</w:t>
      </w:r>
    </w:p>
    <w:p w14:paraId="0E602698" w14:textId="77777777" w:rsidR="00260A7B" w:rsidRPr="00BC61E4" w:rsidRDefault="00260A7B" w:rsidP="00BC61E4">
      <w:pPr>
        <w:spacing w:after="0" w:line="240" w:lineRule="auto"/>
        <w:rPr>
          <w:rFonts w:hAnsi="DengXian" w:hint="eastAsia"/>
          <w:color w:val="385623" w:themeColor="accent6" w:themeShade="80"/>
          <w:kern w:val="24"/>
          <w:sz w:val="21"/>
          <w:szCs w:val="21"/>
        </w:rPr>
      </w:pPr>
    </w:p>
    <w:p w14:paraId="2FE344FE" w14:textId="2613C5FF" w:rsidR="00494862" w:rsidRPr="00BC61E4" w:rsidRDefault="00494862">
      <w:pPr>
        <w:rPr>
          <w:rFonts w:hAnsi="DengXian" w:hint="eastAsia"/>
          <w:color w:val="385623" w:themeColor="accent6" w:themeShade="80"/>
          <w:kern w:val="24"/>
          <w:sz w:val="21"/>
          <w:szCs w:val="21"/>
        </w:rPr>
      </w:pPr>
    </w:p>
    <w:sectPr w:rsidR="00494862" w:rsidRPr="00BC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DD"/>
    <w:rsid w:val="0001734C"/>
    <w:rsid w:val="000B262B"/>
    <w:rsid w:val="000D4338"/>
    <w:rsid w:val="000E26C5"/>
    <w:rsid w:val="00130C26"/>
    <w:rsid w:val="001313EB"/>
    <w:rsid w:val="00260A7B"/>
    <w:rsid w:val="00387926"/>
    <w:rsid w:val="003C3880"/>
    <w:rsid w:val="003E2727"/>
    <w:rsid w:val="00477AE7"/>
    <w:rsid w:val="00494862"/>
    <w:rsid w:val="005A3658"/>
    <w:rsid w:val="0064011F"/>
    <w:rsid w:val="006B2978"/>
    <w:rsid w:val="008A4353"/>
    <w:rsid w:val="00983AFA"/>
    <w:rsid w:val="00AC7084"/>
    <w:rsid w:val="00AC78C6"/>
    <w:rsid w:val="00B072DD"/>
    <w:rsid w:val="00BC61E4"/>
    <w:rsid w:val="00D02982"/>
    <w:rsid w:val="00E52ED9"/>
    <w:rsid w:val="00F40349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A3FB"/>
  <w15:chartTrackingRefBased/>
  <w15:docId w15:val="{04F35367-2DA9-481F-8331-9065D50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978"/>
    <w:pPr>
      <w:spacing w:after="160" w:line="254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lement-citation">
    <w:name w:val="element-citation"/>
    <w:basedOn w:val="a0"/>
    <w:rsid w:val="00983AFA"/>
  </w:style>
  <w:style w:type="character" w:customStyle="1" w:styleId="ref-journal">
    <w:name w:val="ref-journal"/>
    <w:basedOn w:val="a0"/>
    <w:rsid w:val="00983AFA"/>
  </w:style>
  <w:style w:type="character" w:customStyle="1" w:styleId="ref-vol">
    <w:name w:val="ref-vol"/>
    <w:basedOn w:val="a0"/>
    <w:rsid w:val="00983AFA"/>
  </w:style>
  <w:style w:type="paragraph" w:styleId="a3">
    <w:name w:val="Balloon Text"/>
    <w:basedOn w:val="a"/>
    <w:link w:val="a4"/>
    <w:uiPriority w:val="99"/>
    <w:semiHidden/>
    <w:unhideWhenUsed/>
    <w:rsid w:val="000E26C5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26C5"/>
    <w:rPr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52E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ighwire-citation-authors">
    <w:name w:val="highwire-citation-authors"/>
    <w:basedOn w:val="a0"/>
    <w:rsid w:val="00BC61E4"/>
  </w:style>
  <w:style w:type="character" w:customStyle="1" w:styleId="highwire-citation-author">
    <w:name w:val="highwire-citation-author"/>
    <w:basedOn w:val="a0"/>
    <w:rsid w:val="00BC61E4"/>
  </w:style>
  <w:style w:type="character" w:customStyle="1" w:styleId="nlm-given-names">
    <w:name w:val="nlm-given-names"/>
    <w:basedOn w:val="a0"/>
    <w:rsid w:val="00BC61E4"/>
  </w:style>
  <w:style w:type="character" w:customStyle="1" w:styleId="nlm-surname">
    <w:name w:val="nlm-surname"/>
    <w:basedOn w:val="a0"/>
    <w:rsid w:val="00BC61E4"/>
  </w:style>
  <w:style w:type="character" w:customStyle="1" w:styleId="highwire-cite-metadata-journal">
    <w:name w:val="highwire-cite-metadata-journal"/>
    <w:basedOn w:val="a0"/>
    <w:rsid w:val="00BC61E4"/>
  </w:style>
  <w:style w:type="character" w:customStyle="1" w:styleId="highwire-cite-metadata-pages">
    <w:name w:val="highwire-cite-metadata-pages"/>
    <w:basedOn w:val="a0"/>
    <w:rsid w:val="00BC61E4"/>
  </w:style>
  <w:style w:type="character" w:customStyle="1" w:styleId="highwire-cite-metadata-doi">
    <w:name w:val="highwire-cite-metadata-doi"/>
    <w:basedOn w:val="a0"/>
    <w:rsid w:val="00BC61E4"/>
  </w:style>
  <w:style w:type="character" w:customStyle="1" w:styleId="doilabel">
    <w:name w:val="doi_label"/>
    <w:basedOn w:val="a0"/>
    <w:rsid w:val="00BC61E4"/>
  </w:style>
  <w:style w:type="character" w:customStyle="1" w:styleId="highlight">
    <w:name w:val="highlight"/>
    <w:basedOn w:val="a0"/>
    <w:rsid w:val="00BC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王春丽(Chunli Wang)</dc:creator>
  <cp:keywords/>
  <dc:description/>
  <cp:lastModifiedBy>刘博(Bo Liu)</cp:lastModifiedBy>
  <cp:revision>4</cp:revision>
  <dcterms:created xsi:type="dcterms:W3CDTF">2019-10-29T08:27:00Z</dcterms:created>
  <dcterms:modified xsi:type="dcterms:W3CDTF">2019-10-29T08:38:00Z</dcterms:modified>
</cp:coreProperties>
</file>