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6D" w:rsidRDefault="00351A7B">
      <w:pPr>
        <w:rPr>
          <w:rFonts w:hint="eastAsia"/>
        </w:rPr>
      </w:pPr>
      <w:r>
        <w:rPr>
          <w:rFonts w:hint="eastAsia"/>
        </w:rPr>
        <w:t>中國銀行業的</w:t>
      </w:r>
      <w:r w:rsidR="00293F55">
        <w:rPr>
          <w:rFonts w:hint="eastAsia"/>
        </w:rPr>
        <w:t>背景</w:t>
      </w:r>
    </w:p>
    <w:p w:rsidR="00351A7B" w:rsidRDefault="00351A7B">
      <w:pPr>
        <w:rPr>
          <w:rFonts w:hint="eastAsia"/>
        </w:rPr>
      </w:pPr>
      <w:r>
        <w:rPr>
          <w:rFonts w:hint="eastAsia"/>
        </w:rPr>
        <w:t>改革開放後：</w:t>
      </w:r>
    </w:p>
    <w:p w:rsidR="00351A7B" w:rsidRDefault="00351A7B">
      <w:pPr>
        <w:rPr>
          <w:rFonts w:hint="eastAsia"/>
        </w:rPr>
      </w:pPr>
      <w:r>
        <w:rPr>
          <w:rFonts w:hint="eastAsia"/>
        </w:rPr>
        <w:t>雖然中國經濟持續快速發展，</w:t>
      </w:r>
      <w:r>
        <w:rPr>
          <w:rFonts w:hint="eastAsia"/>
        </w:rPr>
        <w:t>中國銀行產業</w:t>
      </w:r>
      <w:r>
        <w:rPr>
          <w:rFonts w:hint="eastAsia"/>
        </w:rPr>
        <w:t>仍然與世界有嚴重落差</w:t>
      </w:r>
    </w:p>
    <w:p w:rsidR="00351A7B" w:rsidRDefault="00351A7B">
      <w:pPr>
        <w:rPr>
          <w:rFonts w:hint="eastAsia"/>
        </w:rPr>
      </w:pPr>
      <w:r>
        <w:rPr>
          <w:rFonts w:hint="eastAsia"/>
        </w:rPr>
        <w:t>70</w:t>
      </w:r>
      <w:r>
        <w:rPr>
          <w:rFonts w:hint="eastAsia"/>
        </w:rPr>
        <w:t>年代末期：</w:t>
      </w:r>
    </w:p>
    <w:p w:rsidR="00351A7B" w:rsidRDefault="00351A7B" w:rsidP="00351A7B">
      <w:pPr>
        <w:rPr>
          <w:rFonts w:ascii="AdobeHeitiStd-Regular" w:eastAsia="新細明體" w:cs="AdobeHeitiStd-Regular" w:hint="eastAsia"/>
          <w:kern w:val="0"/>
          <w:sz w:val="21"/>
          <w:szCs w:val="21"/>
        </w:rPr>
      </w:pPr>
      <w:r>
        <w:rPr>
          <w:rFonts w:ascii="AdobeHeitiStd-Regular" w:eastAsia="新細明體" w:cs="AdobeHeitiStd-Regular" w:hint="eastAsia"/>
          <w:kern w:val="0"/>
          <w:sz w:val="21"/>
          <w:szCs w:val="21"/>
        </w:rPr>
        <w:t>中國只有</w:t>
      </w:r>
      <w:r w:rsidRPr="00351A7B">
        <w:rPr>
          <w:rFonts w:ascii="AdobeHeitiStd-Regular" w:eastAsia="新細明體" w:cs="AdobeHeitiStd-Regular" w:hint="eastAsia"/>
          <w:kern w:val="0"/>
          <w:sz w:val="21"/>
          <w:szCs w:val="21"/>
        </w:rPr>
        <w:t>中國人民銀行，中國銀行，中國人民建設銀行，不存在嚴格意義上的商業銀行體系</w:t>
      </w:r>
    </w:p>
    <w:p w:rsidR="00351A7B" w:rsidRDefault="00293F55" w:rsidP="00351A7B">
      <w:pPr>
        <w:rPr>
          <w:rFonts w:ascii="AdobeHeitiStd-Regular" w:eastAsia="新細明體" w:cs="AdobeHeitiStd-Regular" w:hint="eastAsia"/>
          <w:kern w:val="0"/>
          <w:sz w:val="21"/>
          <w:szCs w:val="21"/>
        </w:rPr>
      </w:pPr>
      <w:r>
        <w:rPr>
          <w:rFonts w:ascii="AdobeHeitiStd-Regular" w:eastAsia="新細明體" w:cs="AdobeHeitiStd-Regular" w:hint="eastAsia"/>
          <w:kern w:val="0"/>
          <w:sz w:val="21"/>
          <w:szCs w:val="21"/>
        </w:rPr>
        <w:t>1984</w:t>
      </w:r>
      <w:r>
        <w:rPr>
          <w:rFonts w:ascii="AdobeHeitiStd-Regular" w:eastAsia="新細明體" w:cs="AdobeHeitiStd-Regular" w:hint="eastAsia"/>
          <w:kern w:val="0"/>
          <w:sz w:val="21"/>
          <w:szCs w:val="21"/>
        </w:rPr>
        <w:t>年</w:t>
      </w:r>
      <w:r w:rsidR="00351A7B">
        <w:rPr>
          <w:rFonts w:ascii="AdobeHeitiStd-Regular" w:eastAsia="新細明體" w:cs="AdobeHeitiStd-Regular" w:hint="eastAsia"/>
          <w:kern w:val="0"/>
          <w:sz w:val="21"/>
          <w:szCs w:val="21"/>
        </w:rPr>
        <w:t>中國工商銀行的成立：</w:t>
      </w:r>
    </w:p>
    <w:p w:rsidR="00351A7B" w:rsidRDefault="00351A7B" w:rsidP="00351A7B">
      <w:pPr>
        <w:rPr>
          <w:rFonts w:ascii="AdobeHeitiStd-Regular" w:eastAsia="新細明體" w:cs="AdobeHeitiStd-Regular" w:hint="eastAsia"/>
          <w:kern w:val="0"/>
          <w:sz w:val="21"/>
          <w:szCs w:val="21"/>
        </w:rPr>
      </w:pPr>
      <w:r>
        <w:rPr>
          <w:rFonts w:ascii="AdobeHeitiStd-Regular" w:eastAsia="新細明體" w:cs="AdobeHeitiStd-Regular" w:hint="eastAsia"/>
          <w:kern w:val="0"/>
          <w:sz w:val="21"/>
          <w:szCs w:val="21"/>
        </w:rPr>
        <w:t>這</w:t>
      </w:r>
      <w:proofErr w:type="gramStart"/>
      <w:r>
        <w:rPr>
          <w:rFonts w:ascii="AdobeHeitiStd-Regular" w:eastAsia="新細明體" w:cs="AdobeHeitiStd-Regular" w:hint="eastAsia"/>
          <w:kern w:val="0"/>
          <w:sz w:val="21"/>
          <w:szCs w:val="21"/>
        </w:rPr>
        <w:t>可以說是中國</w:t>
      </w:r>
      <w:proofErr w:type="gramEnd"/>
      <w:r w:rsidR="00293F55">
        <w:rPr>
          <w:rFonts w:ascii="AdobeHeitiStd-Regular" w:eastAsia="新細明體" w:cs="AdobeHeitiStd-Regular" w:hint="eastAsia"/>
          <w:kern w:val="0"/>
          <w:sz w:val="21"/>
          <w:szCs w:val="21"/>
        </w:rPr>
        <w:t>產業發展的第一個轉捩點，中國工商銀行的成立說明中國專業銀行的體系形成</w:t>
      </w:r>
      <w:r w:rsidR="00293F55">
        <w:rPr>
          <w:rFonts w:ascii="AdobeHeitiStd-Regular" w:eastAsia="新細明體" w:cs="AdobeHeitiStd-Regular" w:hint="eastAsia"/>
          <w:kern w:val="0"/>
          <w:sz w:val="21"/>
          <w:szCs w:val="21"/>
        </w:rPr>
        <w:t>(</w:t>
      </w:r>
      <w:r w:rsidR="00293F55">
        <w:rPr>
          <w:rFonts w:ascii="AdobeHeitiStd-Regular" w:eastAsia="新細明體" w:cs="AdobeHeitiStd-Regular" w:hint="eastAsia"/>
          <w:kern w:val="0"/>
          <w:sz w:val="21"/>
          <w:szCs w:val="21"/>
        </w:rPr>
        <w:t>這個可能還要查查工商銀行的簡介</w:t>
      </w:r>
      <w:r w:rsidR="00293F55">
        <w:rPr>
          <w:rFonts w:ascii="AdobeHeitiStd-Regular" w:eastAsia="新細明體" w:cs="AdobeHeitiStd-Regular" w:hint="eastAsia"/>
          <w:kern w:val="0"/>
          <w:sz w:val="21"/>
          <w:szCs w:val="21"/>
        </w:rPr>
        <w:t>)</w:t>
      </w:r>
    </w:p>
    <w:p w:rsidR="0035465F" w:rsidRDefault="00293F55" w:rsidP="00293F55">
      <w:pPr>
        <w:rPr>
          <w:rFonts w:ascii="AdobeHeitiStd-Regular" w:eastAsia="新細明體" w:cs="AdobeHeitiStd-Regular" w:hint="eastAsia"/>
          <w:kern w:val="0"/>
          <w:sz w:val="21"/>
          <w:szCs w:val="21"/>
        </w:rPr>
      </w:pPr>
      <w:r>
        <w:rPr>
          <w:rFonts w:ascii="AdobeHeitiStd-Regular" w:eastAsia="新細明體" w:cs="AdobeHeitiStd-Regular" w:hint="eastAsia"/>
          <w:kern w:val="0"/>
          <w:sz w:val="21"/>
          <w:szCs w:val="21"/>
        </w:rPr>
        <w:t>2</w:t>
      </w:r>
      <w:r w:rsidRPr="00293F55">
        <w:rPr>
          <w:rFonts w:ascii="AdobeHeitiStd-Regular" w:eastAsia="新細明體" w:cs="AdobeHeitiStd-Regular"/>
          <w:kern w:val="0"/>
          <w:sz w:val="21"/>
          <w:szCs w:val="21"/>
        </w:rPr>
        <w:t xml:space="preserve">004 </w:t>
      </w:r>
      <w:r w:rsidRPr="00293F55">
        <w:rPr>
          <w:rFonts w:ascii="AdobeHeitiStd-Regular" w:eastAsia="新細明體" w:cs="AdobeHeitiStd-Regular" w:hint="eastAsia"/>
          <w:kern w:val="0"/>
          <w:sz w:val="21"/>
          <w:szCs w:val="21"/>
        </w:rPr>
        <w:t>－</w:t>
      </w:r>
      <w:r w:rsidRPr="00293F55">
        <w:rPr>
          <w:rFonts w:ascii="AdobeHeitiStd-Regular" w:eastAsia="新細明體" w:cs="AdobeHeitiStd-Regular"/>
          <w:kern w:val="0"/>
          <w:sz w:val="21"/>
          <w:szCs w:val="21"/>
        </w:rPr>
        <w:t xml:space="preserve"> 2007</w:t>
      </w:r>
      <w:r w:rsidRPr="00293F55">
        <w:rPr>
          <w:rFonts w:ascii="AdobeHeitiStd-Regular" w:eastAsia="新細明體" w:cs="AdobeHeitiStd-Regular" w:hint="eastAsia"/>
          <w:kern w:val="0"/>
          <w:sz w:val="21"/>
          <w:szCs w:val="21"/>
        </w:rPr>
        <w:t>年</w:t>
      </w:r>
    </w:p>
    <w:p w:rsidR="00293F55" w:rsidRDefault="00293F55" w:rsidP="00293F55">
      <w:pPr>
        <w:rPr>
          <w:rFonts w:ascii="AdobeHeitiStd-Regular" w:eastAsia="新細明體" w:cs="AdobeHeitiStd-Regular" w:hint="eastAsia"/>
          <w:kern w:val="0"/>
          <w:sz w:val="21"/>
          <w:szCs w:val="21"/>
        </w:rPr>
      </w:pPr>
      <w:r w:rsidRPr="00293F55">
        <w:rPr>
          <w:rFonts w:ascii="AdobeHeitiStd-Regular" w:eastAsia="新細明體" w:cs="AdobeHeitiStd-Regular" w:hint="eastAsia"/>
          <w:kern w:val="0"/>
          <w:sz w:val="21"/>
          <w:szCs w:val="21"/>
        </w:rPr>
        <w:t>中國建設銀行、中國銀行、中國工商銀行、中國農業銀行先後完成</w:t>
      </w:r>
      <w:bookmarkStart w:id="0" w:name="_GoBack"/>
      <w:bookmarkEnd w:id="0"/>
      <w:r w:rsidRPr="00293F55">
        <w:rPr>
          <w:rFonts w:ascii="AdobeHeitiStd-Regular" w:eastAsia="新細明體" w:cs="AdobeHeitiStd-Regular" w:hint="eastAsia"/>
          <w:kern w:val="0"/>
          <w:sz w:val="21"/>
          <w:szCs w:val="21"/>
        </w:rPr>
        <w:t>股份制改造上市，完成了</w:t>
      </w:r>
      <w:r w:rsidR="0035465F" w:rsidRPr="00293F55">
        <w:rPr>
          <w:rFonts w:ascii="AdobeHeitiStd-Regular" w:eastAsia="新細明體" w:cs="AdobeHeitiStd-Regular" w:hint="eastAsia"/>
          <w:kern w:val="0"/>
          <w:sz w:val="21"/>
          <w:szCs w:val="21"/>
        </w:rPr>
        <w:t>向國有股份制商業銀行的轉變</w:t>
      </w:r>
    </w:p>
    <w:p w:rsidR="00351A7B" w:rsidRDefault="0035465F" w:rsidP="00351A7B">
      <w:pPr>
        <w:rPr>
          <w:rFonts w:hint="eastAsia"/>
        </w:rPr>
      </w:pPr>
      <w:r>
        <w:t>2010</w:t>
      </w:r>
      <w:r>
        <w:rPr>
          <w:rFonts w:hint="eastAsia"/>
        </w:rPr>
        <w:t>年</w:t>
      </w:r>
    </w:p>
    <w:p w:rsidR="00293F55" w:rsidRDefault="0035465F" w:rsidP="00351A7B">
      <w:pPr>
        <w:rPr>
          <w:rFonts w:ascii="AdobeHeitiStd-Regular" w:eastAsia="新細明體" w:cs="AdobeHeitiStd-Regular" w:hint="eastAsia"/>
          <w:kern w:val="0"/>
          <w:sz w:val="21"/>
          <w:szCs w:val="21"/>
        </w:rPr>
      </w:pPr>
      <w:r>
        <w:rPr>
          <w:rFonts w:hint="eastAsia"/>
        </w:rPr>
        <w:t>根據</w:t>
      </w:r>
      <w:r w:rsidRPr="00293F55">
        <w:rPr>
          <w:rFonts w:hint="eastAsia"/>
        </w:rPr>
        <w:t>全球銀行前</w:t>
      </w:r>
      <w:r w:rsidRPr="00293F55">
        <w:t xml:space="preserve">1000 </w:t>
      </w:r>
      <w:r w:rsidRPr="00293F55">
        <w:rPr>
          <w:rFonts w:hint="eastAsia"/>
        </w:rPr>
        <w:t>強</w:t>
      </w:r>
      <w:r>
        <w:rPr>
          <w:rFonts w:hint="eastAsia"/>
        </w:rPr>
        <w:t>、及</w:t>
      </w:r>
      <w:r>
        <w:rPr>
          <w:rFonts w:ascii="KTJ0+ZHZCec-3" w:eastAsia="KTJ0+ZHZCec-3" w:cs="KTJ0+ZHZCec-3" w:hint="eastAsia"/>
          <w:kern w:val="0"/>
          <w:sz w:val="21"/>
          <w:szCs w:val="21"/>
        </w:rPr>
        <w:t>、</w:t>
      </w:r>
      <w:r w:rsidRPr="0035465F">
        <w:rPr>
          <w:rFonts w:ascii="AdobeHeitiStd-Regular" w:eastAsia="新細明體" w:cs="AdobeHeitiStd-Regular" w:hint="eastAsia"/>
          <w:kern w:val="0"/>
          <w:sz w:val="21"/>
          <w:szCs w:val="21"/>
        </w:rPr>
        <w:t>一級資本和資產規模全球份額</w:t>
      </w:r>
      <w:r>
        <w:rPr>
          <w:rFonts w:asciiTheme="minorEastAsia" w:hAnsiTheme="minorEastAsia" w:cs="AdobeHeitiStd-Regular" w:hint="eastAsia"/>
          <w:kern w:val="0"/>
          <w:sz w:val="21"/>
          <w:szCs w:val="21"/>
        </w:rPr>
        <w:t>已經接近日本，</w:t>
      </w:r>
      <w:r w:rsidRPr="0035465F">
        <w:rPr>
          <w:rFonts w:ascii="AdobeHeitiStd-Regular" w:eastAsia="新細明體" w:cs="AdobeHeitiStd-Regular" w:hint="eastAsia"/>
          <w:kern w:val="0"/>
          <w:sz w:val="21"/>
          <w:szCs w:val="21"/>
        </w:rPr>
        <w:t>形成歐洲</w:t>
      </w:r>
      <w:r>
        <w:rPr>
          <w:rFonts w:ascii="KTJ0+ZHZCec-3" w:eastAsia="KTJ0+ZHZCec-3" w:cs="KTJ0+ZHZCec-3" w:hint="eastAsia"/>
          <w:kern w:val="0"/>
          <w:sz w:val="21"/>
          <w:szCs w:val="21"/>
        </w:rPr>
        <w:t>、</w:t>
      </w:r>
      <w:r w:rsidRPr="0035465F">
        <w:rPr>
          <w:rFonts w:ascii="AdobeHeitiStd-Regular" w:eastAsia="新細明體" w:cs="AdobeHeitiStd-Regular" w:hint="eastAsia"/>
          <w:kern w:val="0"/>
          <w:sz w:val="21"/>
          <w:szCs w:val="21"/>
        </w:rPr>
        <w:t>美國</w:t>
      </w:r>
      <w:r>
        <w:rPr>
          <w:rFonts w:ascii="KTJ0+ZHZCec-3" w:eastAsia="KTJ0+ZHZCec-3" w:cs="KTJ0+ZHZCec-3" w:hint="eastAsia"/>
          <w:kern w:val="0"/>
          <w:sz w:val="21"/>
          <w:szCs w:val="21"/>
        </w:rPr>
        <w:t>、</w:t>
      </w:r>
      <w:r w:rsidRPr="0035465F">
        <w:rPr>
          <w:rFonts w:ascii="AdobeHeitiStd-Regular" w:eastAsia="新細明體" w:cs="AdobeHeitiStd-Regular" w:hint="eastAsia"/>
          <w:kern w:val="0"/>
          <w:sz w:val="21"/>
          <w:szCs w:val="21"/>
        </w:rPr>
        <w:t>中國</w:t>
      </w:r>
      <w:r>
        <w:rPr>
          <w:rFonts w:ascii="KTJ0+ZHZCec-3" w:eastAsia="KTJ0+ZHZCec-3" w:cs="KTJ0+ZHZCec-3" w:hint="eastAsia"/>
          <w:kern w:val="0"/>
          <w:sz w:val="21"/>
          <w:szCs w:val="21"/>
        </w:rPr>
        <w:t>、</w:t>
      </w:r>
      <w:r w:rsidRPr="0035465F">
        <w:rPr>
          <w:rFonts w:ascii="AdobeHeitiStd-Regular" w:eastAsia="新細明體" w:cs="AdobeHeitiStd-Regular" w:hint="eastAsia"/>
          <w:kern w:val="0"/>
          <w:sz w:val="21"/>
          <w:szCs w:val="21"/>
        </w:rPr>
        <w:t>日本四大</w:t>
      </w:r>
      <w:r>
        <w:rPr>
          <w:rFonts w:asciiTheme="minorEastAsia" w:hAnsiTheme="minorEastAsia" w:cs="AdobeHeitiStd-Regular" w:hint="eastAsia"/>
          <w:kern w:val="0"/>
          <w:sz w:val="21"/>
          <w:szCs w:val="21"/>
        </w:rPr>
        <w:t>銀行</w:t>
      </w:r>
      <w:r w:rsidRPr="0035465F">
        <w:rPr>
          <w:rFonts w:ascii="AdobeHeitiStd-Regular" w:eastAsia="新細明體" w:cs="AdobeHeitiStd-Regular" w:hint="eastAsia"/>
          <w:kern w:val="0"/>
          <w:sz w:val="21"/>
          <w:szCs w:val="21"/>
        </w:rPr>
        <w:t>板塊</w:t>
      </w:r>
    </w:p>
    <w:p w:rsidR="0035465F" w:rsidRPr="00351A7B" w:rsidRDefault="0035465F" w:rsidP="00351A7B">
      <w:r>
        <w:rPr>
          <w:noProof/>
        </w:rPr>
        <w:drawing>
          <wp:inline distT="0" distB="0" distL="0" distR="0">
            <wp:extent cx="5274310" cy="21196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65F" w:rsidRPr="00351A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HeitiStd-Regular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TJ0+ZHZCec-3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7B"/>
    <w:rsid w:val="00293F55"/>
    <w:rsid w:val="003274C7"/>
    <w:rsid w:val="00351A7B"/>
    <w:rsid w:val="0035465F"/>
    <w:rsid w:val="004825CB"/>
    <w:rsid w:val="007F4486"/>
    <w:rsid w:val="0092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93F5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93F55"/>
  </w:style>
  <w:style w:type="paragraph" w:styleId="a5">
    <w:name w:val="Balloon Text"/>
    <w:basedOn w:val="a"/>
    <w:link w:val="a6"/>
    <w:uiPriority w:val="99"/>
    <w:semiHidden/>
    <w:unhideWhenUsed/>
    <w:rsid w:val="003546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5465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93F5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93F55"/>
  </w:style>
  <w:style w:type="paragraph" w:styleId="a5">
    <w:name w:val="Balloon Text"/>
    <w:basedOn w:val="a"/>
    <w:link w:val="a6"/>
    <w:uiPriority w:val="99"/>
    <w:semiHidden/>
    <w:unhideWhenUsed/>
    <w:rsid w:val="003546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546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F690B-934B-4ADB-973C-632BE9C6C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Justinian</dc:creator>
  <cp:lastModifiedBy>Justinian</cp:lastModifiedBy>
  <cp:revision>1</cp:revision>
  <dcterms:created xsi:type="dcterms:W3CDTF">2017-08-08T17:44:00Z</dcterms:created>
  <dcterms:modified xsi:type="dcterms:W3CDTF">2017-08-08T18:23:00Z</dcterms:modified>
</cp:coreProperties>
</file>