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2.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Optimisation</w:t>
      </w:r>
      <w:r>
        <w:t xml:space="preserve"> </w:t>
      </w:r>
      <w:r>
        <w:t xml:space="preserve">du</w:t>
      </w:r>
      <w:r>
        <w:t xml:space="preserve"> </w:t>
      </w:r>
      <w:r>
        <w:t xml:space="preserve">placement</w:t>
      </w:r>
      <w:r>
        <w:t xml:space="preserve"> </w:t>
      </w:r>
      <w:r>
        <w:t xml:space="preserve">des</w:t>
      </w:r>
      <w:r>
        <w:t xml:space="preserve"> </w:t>
      </w:r>
      <w:r>
        <w:t xml:space="preserve">antennes</w:t>
      </w:r>
      <w:r>
        <w:t xml:space="preserve"> </w:t>
      </w:r>
      <w:r>
        <w:t xml:space="preserve">au</w:t>
      </w:r>
      <w:r>
        <w:t xml:space="preserve"> </w:t>
      </w:r>
      <w:r>
        <w:t xml:space="preserve">Sénégal</w:t>
      </w:r>
    </w:p>
    <w:p>
      <w:pPr>
        <w:pStyle w:val="Author"/>
      </w:pPr>
      <w:r>
        <w:t xml:space="preserve">SOMA</w:t>
      </w:r>
      <w:r>
        <w:t xml:space="preserve"> </w:t>
      </w:r>
      <w:r>
        <w:t xml:space="preserve">Ben</w:t>
      </w:r>
      <w:r>
        <w:t xml:space="preserve"> </w:t>
      </w:r>
      <w:r>
        <w:t xml:space="preserve">Idriss</w:t>
      </w:r>
      <w:r>
        <w:t xml:space="preserve"> </w:t>
      </w:r>
      <w:r>
        <w:t xml:space="preserve">Diloma</w:t>
      </w:r>
    </w:p>
    <w:p>
      <w:pPr>
        <w:pStyle w:val="Date"/>
      </w:pPr>
      <w:r>
        <w:t xml:space="preserve">2025-05-30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introduction"/>
    <w:p>
      <w:pPr>
        <w:pStyle w:val="Heading1"/>
      </w:pPr>
      <w:r>
        <w:t xml:space="preserve">Introduction</w:t>
      </w:r>
    </w:p>
    <w:p>
      <w:pPr>
        <w:pStyle w:val="FirstParagraph"/>
      </w:pPr>
      <w:r>
        <w:t xml:space="preserve">Au Sénégal, comme dans de nombreux pays en développement, l’accès équitable à la connectivité mobile constitue un enjeu majeur. Malgré les avancées technologiques, de nombreuses zones rurales restent encore mal desservies, avec une qualité de service limitée. Cette situation creuse la fracture numérique et freine le développement socio-économique de territoires pourtant porteurs de potentiel.</w:t>
      </w:r>
    </w:p>
    <w:p>
      <w:pPr>
        <w:pStyle w:val="BodyText"/>
      </w:pPr>
      <w:r>
        <w:t xml:space="preserve">Dans ce contexte, le</w:t>
      </w:r>
      <w:r>
        <w:t xml:space="preserve"> </w:t>
      </w:r>
      <w:r>
        <w:rPr>
          <w:b/>
          <w:bCs/>
        </w:rPr>
        <w:t xml:space="preserve">placement des antennes de télécommunication</w:t>
      </w:r>
      <w:r>
        <w:t xml:space="preserve"> </w:t>
      </w:r>
      <w:r>
        <w:t xml:space="preserve">devient une problématique stratégique. Il ne s’agit pas seulement de couvrir les zones densément peuplées, mais également d’assurer une couverture efficace dans les</w:t>
      </w:r>
      <w:r>
        <w:t xml:space="preserve"> </w:t>
      </w:r>
      <w:r>
        <w:rPr>
          <w:b/>
          <w:bCs/>
        </w:rPr>
        <w:t xml:space="preserve">zones reculées</w:t>
      </w:r>
      <w:r>
        <w:t xml:space="preserve">, souvent difficiles d’accès, où les contraintes géographiques, économiques et techniques rendent le déploiement complexe. Une mauvaise répartition des stations de base peut engendrer des zones blanches, une mauvaise qualité de service ou encore des interférences entre antennes utilisant les mêmes fréquences.</w:t>
      </w:r>
    </w:p>
    <w:p>
      <w:pPr>
        <w:pStyle w:val="BodyText"/>
      </w:pPr>
      <w:r>
        <w:t xml:space="preserve">Ce projet vise ainsi à étudier</w:t>
      </w:r>
      <w:r>
        <w:t xml:space="preserve"> </w:t>
      </w:r>
      <w:r>
        <w:rPr>
          <w:b/>
          <w:bCs/>
        </w:rPr>
        <w:t xml:space="preserve">l’optimisation du placement des antennes</w:t>
      </w:r>
      <w:r>
        <w:t xml:space="preserve">, avec pour objectif une</w:t>
      </w:r>
      <w:r>
        <w:t xml:space="preserve"> </w:t>
      </w:r>
      <w:r>
        <w:rPr>
          <w:b/>
          <w:bCs/>
        </w:rPr>
        <w:t xml:space="preserve">meilleure couverture réseau</w:t>
      </w:r>
      <w:r>
        <w:t xml:space="preserve"> </w:t>
      </w:r>
      <w:r>
        <w:t xml:space="preserve">tout en</w:t>
      </w:r>
      <w:r>
        <w:t xml:space="preserve"> </w:t>
      </w:r>
      <w:r>
        <w:rPr>
          <w:b/>
          <w:bCs/>
        </w:rPr>
        <w:t xml:space="preserve">réduisant les interférences</w:t>
      </w:r>
      <w:r>
        <w:t xml:space="preserve">. L’approche prend en compte les réalités du terrain, notamment la</w:t>
      </w:r>
      <w:r>
        <w:t xml:space="preserve"> </w:t>
      </w:r>
      <w:r>
        <w:rPr>
          <w:b/>
          <w:bCs/>
        </w:rPr>
        <w:t xml:space="preserve">propagation des ondes</w:t>
      </w:r>
      <w:r>
        <w:t xml:space="preserve">, la</w:t>
      </w:r>
      <w:r>
        <w:t xml:space="preserve"> </w:t>
      </w:r>
      <w:r>
        <w:rPr>
          <w:b/>
          <w:bCs/>
        </w:rPr>
        <w:t xml:space="preserve">répartition des fréquences</w:t>
      </w:r>
      <w:r>
        <w:t xml:space="preserve">, ainsi que les</w:t>
      </w:r>
      <w:r>
        <w:t xml:space="preserve"> </w:t>
      </w:r>
      <w:r>
        <w:rPr>
          <w:b/>
          <w:bCs/>
        </w:rPr>
        <w:t xml:space="preserve">contraintes budgétaires</w:t>
      </w:r>
      <w:r>
        <w:t xml:space="preserve"> </w:t>
      </w:r>
      <w:r>
        <w:t xml:space="preserve">liées à l’installation et à l’entretien des infrastructures.</w:t>
      </w:r>
    </w:p>
    <w:p>
      <w:pPr>
        <w:pStyle w:val="BodyText"/>
      </w:pPr>
      <w:r>
        <w:t xml:space="preserve">Face à la complexité des réseaux actuels, il devient essentiel de recourir à des outils d’aide à la décision basés sur la simulation et l’optimisation. Ce travail propose le développement et l’implémentation d’un modèle de réseau adapté, permettant de tester différentes configurations de placement et d’affectation de fréquence. Deux techniques d’optimisation sont mobilisées : un</w:t>
      </w:r>
      <w:r>
        <w:t xml:space="preserve"> </w:t>
      </w:r>
      <w:r>
        <w:rPr>
          <w:b/>
          <w:bCs/>
        </w:rPr>
        <w:t xml:space="preserve">algorithme de recherche directe</w:t>
      </w:r>
      <w:r>
        <w:t xml:space="preserve"> </w:t>
      </w:r>
      <w:r>
        <w:t xml:space="preserve">(MADS) et une</w:t>
      </w:r>
      <w:r>
        <w:t xml:space="preserve"> </w:t>
      </w:r>
      <w:r>
        <w:rPr>
          <w:b/>
          <w:bCs/>
        </w:rPr>
        <w:t xml:space="preserve">métaheuristique</w:t>
      </w:r>
      <w:r>
        <w:t xml:space="preserve"> </w:t>
      </w:r>
      <w:r>
        <w:t xml:space="preserve">(la recherche tabou), afin d’explorer efficacement l’espace des solutions possibles.</w:t>
      </w:r>
    </w:p>
    <w:p>
      <w:pPr>
        <w:pStyle w:val="BodyText"/>
      </w:pPr>
      <w:r>
        <w:t xml:space="preserve">Les résultats obtenus permettront d’évaluer la performance de la méthode proposée et d’ouvrir la voie à une application à grande échelle dans le contexte sénégalais, en vue de réduire les inégalités d’accès au numérique et d’optimiser l’usage des ressources technologiques disponibles.</w:t>
      </w:r>
    </w:p>
    <w:p>
      <w:r>
        <w:pict>
          <v:rect style="width:0;height:1.5pt" o:hralign="center" o:hrstd="t" o:hr="t"/>
        </w:pict>
      </w:r>
    </w:p>
    <w:bookmarkEnd w:id="20"/>
    <w:bookmarkStart w:id="35" w:name="Xcd14d8aae976b99bc22a04301205ad8a936bcaa"/>
    <w:p>
      <w:pPr>
        <w:pStyle w:val="Heading1"/>
      </w:pPr>
      <w:r>
        <w:t xml:space="preserve">Généralités sur les Réseaux de télécommunicatin</w:t>
      </w:r>
    </w:p>
    <w:bookmarkStart w:id="21" w:name="canaux-de-communication"/>
    <w:p>
      <w:pPr>
        <w:pStyle w:val="Heading2"/>
      </w:pPr>
      <w:r>
        <w:t xml:space="preserve">canaux de communication</w:t>
      </w:r>
    </w:p>
    <w:p>
      <w:pPr>
        <w:pStyle w:val="FirstParagraph"/>
      </w:pPr>
      <w:r>
        <w:t xml:space="preserve">En télécommunications ou dans les réseaux informatiques, un canal de commu</w:t>
      </w:r>
      <w:r>
        <w:t xml:space="preserve"> </w:t>
      </w:r>
      <w:r>
        <w:t xml:space="preserve">nication est un médium de transmission d’information, permettant l’acheminement</w:t>
      </w:r>
      <w:r>
        <w:t xml:space="preserve"> </w:t>
      </w:r>
      <w:r>
        <w:t xml:space="preserve">d’un message d’une ou plusieurs sources à un ou plusieurs destinataires. Cette trans</w:t>
      </w:r>
      <w:r>
        <w:t xml:space="preserve"> </w:t>
      </w:r>
      <w:r>
        <w:t xml:space="preserve">mission d’information peut se faire au travers d’un support physique, comme un câble,</w:t>
      </w:r>
      <w:r>
        <w:t xml:space="preserve"> </w:t>
      </w:r>
      <w:r>
        <w:t xml:space="preserve">ou d’un support logique, comme un canal radio.</w:t>
      </w:r>
    </w:p>
    <w:bookmarkEnd w:id="21"/>
    <w:bookmarkStart w:id="26" w:name="spectre-de-fréquence-dun-signal"/>
    <w:p>
      <w:pPr>
        <w:pStyle w:val="Heading2"/>
      </w:pPr>
      <w:r>
        <w:t xml:space="preserve">Spectre de fréquence d’un signal</w:t>
      </w:r>
    </w:p>
    <w:p>
      <w:pPr>
        <w:pStyle w:val="FirstParagraph"/>
      </w:pPr>
      <w:r>
        <w:t xml:space="preserve">Lors de la transmission d’un signal dans un câble ou dans l’air, celui-ci est de nature analogique. Pour comprendre comment il transporte l’information, on analyse sa composition fréquentielle à l’aide de la</w:t>
      </w:r>
      <w:r>
        <w:t xml:space="preserve"> </w:t>
      </w:r>
      <w:r>
        <w:rPr>
          <w:b/>
          <w:bCs/>
        </w:rPr>
        <w:t xml:space="preserve">transformée de Fourier</w:t>
      </w:r>
      <w:r>
        <w:t xml:space="preserve">.</w:t>
      </w:r>
    </w:p>
    <w:p>
      <w:pPr>
        <w:pStyle w:val="BodyText"/>
      </w:pPr>
      <w:r>
        <w:t xml:space="preserve">Cette analyse permet d’obtenir le</w:t>
      </w:r>
      <w:r>
        <w:t xml:space="preserve"> </w:t>
      </w:r>
      <w:r>
        <w:rPr>
          <w:b/>
          <w:bCs/>
        </w:rPr>
        <w:t xml:space="preserve">spectre de fréquences</w:t>
      </w:r>
      <w:r>
        <w:t xml:space="preserve"> </w:t>
      </w:r>
      <w:r>
        <w:t xml:space="preserve">du signal, c’est-à-dire la répartition de sa puissance selon les différentes fréquences. Pour les signaux réels, l’énergie est souvent concentrée dans une</w:t>
      </w:r>
      <w:r>
        <w:t xml:space="preserve"> </w:t>
      </w:r>
      <w:r>
        <w:rPr>
          <w:b/>
          <w:bCs/>
        </w:rPr>
        <w:t xml:space="preserve">bande passante limitée</w:t>
      </w:r>
      <w:r>
        <w:t xml:space="preserve">. En dessous d’un certain seuil, la puissance est négligeable, ce qui permet de</w:t>
      </w:r>
      <w:r>
        <w:t xml:space="preserve"> </w:t>
      </w:r>
      <w:r>
        <w:rPr>
          <w:b/>
          <w:bCs/>
        </w:rPr>
        <w:t xml:space="preserve">délimiter la bande utile</w:t>
      </w:r>
      <w:r>
        <w:t xml:space="preserve"> </w:t>
      </w:r>
      <w:r>
        <w:t xml:space="preserve">du signal.</w:t>
      </w:r>
    </w:p>
    <w:bookmarkStart w:id="25" w:name="illustration-en-r"/>
    <w:p>
      <w:pPr>
        <w:pStyle w:val="Heading3"/>
      </w:pPr>
      <w:r>
        <w:t xml:space="preserve">Illustration en R</w:t>
      </w:r>
    </w:p>
    <w:p>
      <w:pPr>
        <w:pStyle w:val="FirstParagraph"/>
      </w:pPr>
      <w:r>
        <w:drawing>
          <wp:inline>
            <wp:extent cx="4620126" cy="3696101"/>
            <wp:effectExtent b="0" l="0" r="0" t="0"/>
            <wp:docPr descr="" title="" id="23" name="Picture"/>
            <a:graphic>
              <a:graphicData uri="http://schemas.openxmlformats.org/drawingml/2006/picture">
                <pic:pic>
                  <pic:nvPicPr>
                    <pic:cNvPr descr="livre_files/figure-docx/unnamed-chunk-1-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bookmarkEnd w:id="25"/>
    <w:bookmarkEnd w:id="26"/>
    <w:bookmarkStart w:id="33" w:name="bande-passante-dun-canal"/>
    <w:p>
      <w:pPr>
        <w:pStyle w:val="Heading2"/>
      </w:pPr>
      <w:r>
        <w:t xml:space="preserve">Bande passante d’un canal</w:t>
      </w:r>
    </w:p>
    <w:p>
      <w:pPr>
        <w:pStyle w:val="FirstParagraph"/>
      </w:pPr>
      <w:r>
        <w:t xml:space="preserve">Il est très important de connaître les caractéristiques fréquentielles du canal sur</w:t>
      </w:r>
      <w:r>
        <w:t xml:space="preserve"> </w:t>
      </w:r>
      <w:r>
        <w:t xml:space="preserve">lequel on veut transmettre de l’information. En effet, un canal ne peut transporter des</w:t>
      </w:r>
      <w:r>
        <w:t xml:space="preserve"> </w:t>
      </w:r>
      <w:r>
        <w:t xml:space="preserve">signaux que dans une certaine bande de fréquences, appelée bande passante du canal.</w:t>
      </w:r>
    </w:p>
    <w:p>
      <w:pPr>
        <w:pStyle w:val="BodyText"/>
      </w:pPr>
      <w:r>
        <w:drawing>
          <wp:inline>
            <wp:extent cx="4533900" cy="1869739"/>
            <wp:effectExtent b="0" l="0" r="0" t="0"/>
            <wp:docPr descr="" title="" id="28" name="Picture"/>
            <a:graphic>
              <a:graphicData uri="http://schemas.openxmlformats.org/drawingml/2006/picture">
                <pic:pic>
                  <pic:nvPicPr>
                    <pic:cNvPr descr="donnee/frequence.png" id="29" name="Picture"/>
                    <pic:cNvPicPr>
                      <a:picLocks noChangeArrowheads="1" noChangeAspect="1"/>
                    </pic:cNvPicPr>
                  </pic:nvPicPr>
                  <pic:blipFill>
                    <a:blip r:embed="rId27"/>
                    <a:stretch>
                      <a:fillRect/>
                    </a:stretch>
                  </pic:blipFill>
                  <pic:spPr bwMode="auto">
                    <a:xfrm>
                      <a:off x="0" y="0"/>
                      <a:ext cx="4533900" cy="1869739"/>
                    </a:xfrm>
                    <a:prstGeom prst="rect">
                      <a:avLst/>
                    </a:prstGeom>
                    <a:noFill/>
                    <a:ln w="9525">
                      <a:noFill/>
                      <a:headEnd/>
                      <a:tailEnd/>
                    </a:ln>
                  </pic:spPr>
                </pic:pic>
              </a:graphicData>
            </a:graphic>
          </wp:inline>
        </w:drawing>
      </w:r>
      <w:r>
        <w:t xml:space="preserve"> </w:t>
      </w:r>
      <w:r>
        <w:t xml:space="preserve">## Modulation du signal</w:t>
      </w:r>
    </w:p>
    <w:p>
      <w:pPr>
        <w:pStyle w:val="BodyText"/>
      </w:pPr>
      <w:r>
        <w:t xml:space="preserve">Afin de permettre la transmission d’un signal sur un support donné, il est souvent nécessaire d’adapter sa fréquence pour qu’elle corresponde à la bande passante du canal de transmission. Cette opération est réalisée par le procédé de modulation.</w:t>
      </w:r>
    </w:p>
    <w:p>
      <w:pPr>
        <w:pStyle w:val="BodyText"/>
      </w:pPr>
      <w:r>
        <w:t xml:space="preserve">La modulation consiste à combiner le signal à transmettre, initialement en bande de base, avec une onde porteuse : une onde sinusoïdale de fréquence fP​ et d’amplitude</w:t>
      </w:r>
      <w:r>
        <w:t xml:space="preserve"> </w:t>
      </w:r>
      <m:oMath>
        <m:sSub>
          <m:e>
            <m:r>
              <m:t>a</m:t>
            </m:r>
          </m:e>
          <m:sub>
            <m:r>
              <m:t>p</m:t>
            </m:r>
          </m:sub>
        </m:sSub>
      </m:oMath>
      <w:r>
        <w:t xml:space="preserve">​, généralement située au centre de la bande passante du support. Mathématiquement, cette onde porteuse peut s’écrire :</w:t>
      </w:r>
    </w:p>
    <w:p>
      <w:pPr>
        <w:pStyle w:val="BodyText"/>
      </w:pPr>
      <m:oMathPara>
        <m:oMathParaPr>
          <m:jc m:val="center"/>
        </m:oMathParaPr>
        <m:oMath>
          <m:sSub>
            <m:e>
              <m:r>
                <m:t>s</m:t>
              </m:r>
            </m:e>
            <m:sub>
              <m:r>
                <m:t>P</m:t>
              </m:r>
            </m:sub>
          </m:sSub>
          <m:d>
            <m:dPr>
              <m:begChr m:val="("/>
              <m:endChr m:val=")"/>
              <m:sepChr m:val=""/>
              <m:grow/>
            </m:dPr>
            <m:e>
              <m:r>
                <m:t>t</m:t>
              </m:r>
            </m:e>
          </m:d>
          <m:r>
            <m:rPr>
              <m:sty m:val="p"/>
            </m:rPr>
            <m:t>=</m:t>
          </m:r>
          <m:sSub>
            <m:e>
              <m:r>
                <m:t>a</m:t>
              </m:r>
            </m:e>
            <m:sub>
              <m:r>
                <m:t>P</m:t>
              </m:r>
            </m:sub>
          </m:sSub>
          <m:r>
            <m:rPr>
              <m:sty m:val="p"/>
            </m:rPr>
            <m:t>cos</m:t>
          </m:r>
          <m:d>
            <m:dPr>
              <m:begChr m:val="("/>
              <m:endChr m:val=")"/>
              <m:sepChr m:val=""/>
              <m:grow/>
            </m:dPr>
            <m:e>
              <m:r>
                <m:t>2</m:t>
              </m:r>
              <m:r>
                <m:t>π</m:t>
              </m:r>
              <m:sSub>
                <m:e>
                  <m:r>
                    <m:t>f</m:t>
                  </m:r>
                </m:e>
                <m:sub>
                  <m:r>
                    <m:t>P</m:t>
                  </m:r>
                </m:sub>
              </m:sSub>
              <m:r>
                <m:t>t</m:t>
              </m:r>
            </m:e>
          </m:d>
        </m:oMath>
      </m:oMathPara>
    </w:p>
    <w:p>
      <w:pPr>
        <w:pStyle w:val="FirstParagraph"/>
      </w:pPr>
      <w:r>
        <w:drawing>
          <wp:inline>
            <wp:extent cx="4620126" cy="3696101"/>
            <wp:effectExtent b="0" l="0" r="0" t="0"/>
            <wp:docPr descr="" title="" id="31" name="Picture"/>
            <a:graphic>
              <a:graphicData uri="http://schemas.openxmlformats.org/drawingml/2006/picture">
                <pic:pic>
                  <pic:nvPicPr>
                    <pic:cNvPr descr="livre_files/figure-docx/unnamed-chunk-3-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modulant cette onde avec le signal d’origine, on obtient un signal modulé dont le spectre est déplacé autour de la fréquence fPf​. Ce nouveau signal respecte les contraintes fréquentielles du support et peut donc être transmis efficacement.</w:t>
      </w:r>
    </w:p>
    <w:bookmarkEnd w:id="33"/>
    <w:bookmarkStart w:id="34" w:name="capacité-dun-canal-de-communications"/>
    <w:p>
      <w:pPr>
        <w:pStyle w:val="Heading2"/>
      </w:pPr>
      <w:r>
        <w:t xml:space="preserve">Capacité d’un canal de communications</w:t>
      </w:r>
    </w:p>
    <w:bookmarkEnd w:id="34"/>
    <w:bookmarkEnd w:id="35"/>
    <w:bookmarkStart w:id="39" w:name="modélisation-de-la-propagation-des-ondes"/>
    <w:p>
      <w:pPr>
        <w:pStyle w:val="Heading1"/>
      </w:pPr>
      <w:r>
        <w:t xml:space="preserve">Modélisation de la propagation des ondes</w:t>
      </w:r>
    </w:p>
    <w:bookmarkStart w:id="36" w:name="Xd8647750e0499caf45209e26c07c81a2d1bd235"/>
    <w:p>
      <w:pPr>
        <w:pStyle w:val="Heading2"/>
      </w:pPr>
      <w:r>
        <w:t xml:space="preserve">Modèle de propagation dans le vide (Equation de Friis)</w:t>
      </w:r>
    </w:p>
    <w:p>
      <w:pPr>
        <w:pStyle w:val="FirstParagraph"/>
      </w:pPr>
      <w:r>
        <w:t xml:space="preserve">Dans le modèle idéalisé sans obstacles (propagation en espace libre), la puissance reçue est donnée par</w:t>
      </w:r>
      <w:r>
        <w:t xml:space="preserve"> </w:t>
      </w:r>
      <w:r>
        <w:rPr>
          <w:b/>
          <w:bCs/>
        </w:rPr>
        <w:t xml:space="preserve">l’équation de Friis</w:t>
      </w:r>
      <w:r>
        <w:t xml:space="preserve"> </w:t>
      </w:r>
      <w:r>
        <w:t xml:space="preserve">:</w:t>
      </w:r>
    </w:p>
    <w:p>
      <w:pPr>
        <w:pStyle w:val="BodyText"/>
      </w:pPr>
      <m:oMathPara>
        <m:oMathParaPr>
          <m:jc m:val="center"/>
        </m:oMathParaPr>
        <m:oMath>
          <m:sSub>
            <m:e>
              <m:r>
                <m:t>P</m:t>
              </m:r>
            </m:e>
            <m:sub>
              <m:r>
                <m:t>r</m:t>
              </m:r>
            </m:sub>
          </m:sSub>
          <m:d>
            <m:dPr>
              <m:begChr m:val="("/>
              <m:endChr m:val=")"/>
              <m:sepChr m:val=""/>
              <m:grow/>
            </m:dPr>
            <m:e>
              <m:r>
                <m:t>d</m:t>
              </m:r>
            </m:e>
          </m:d>
          <m:r>
            <m:rPr>
              <m:sty m:val="p"/>
            </m:rPr>
            <m:t>=</m:t>
          </m:r>
          <m:f>
            <m:fPr>
              <m:type m:val="bar"/>
            </m:fPr>
            <m:num>
              <m:sSub>
                <m:e>
                  <m:r>
                    <m:t>P</m:t>
                  </m:r>
                </m:e>
                <m:sub>
                  <m:r>
                    <m:t>t</m:t>
                  </m:r>
                </m:sub>
              </m:sSub>
              <m:sSub>
                <m:e>
                  <m:r>
                    <m:t>G</m:t>
                  </m:r>
                </m:e>
                <m:sub>
                  <m:r>
                    <m:t>t</m:t>
                  </m:r>
                </m:sub>
              </m:sSub>
              <m:sSub>
                <m:e>
                  <m:r>
                    <m:t>G</m:t>
                  </m:r>
                </m:e>
                <m:sub>
                  <m:r>
                    <m:t>r</m:t>
                  </m:r>
                </m:sub>
              </m:sSub>
              <m:sSup>
                <m:e>
                  <m:r>
                    <m:t>λ</m:t>
                  </m:r>
                </m:e>
                <m:sup>
                  <m:r>
                    <m:t>2</m:t>
                  </m:r>
                </m:sup>
              </m:sSup>
            </m:num>
            <m:den>
              <m:sSup>
                <m:e>
                  <m:d>
                    <m:dPr>
                      <m:begChr m:val="("/>
                      <m:endChr m:val=")"/>
                      <m:sepChr m:val=""/>
                      <m:grow/>
                    </m:dPr>
                    <m:e>
                      <m:r>
                        <m:t>4</m:t>
                      </m:r>
                      <m:r>
                        <m:t>π</m:t>
                      </m:r>
                      <m:r>
                        <m:t>d</m:t>
                      </m:r>
                    </m:e>
                  </m:d>
                </m:e>
                <m:sup>
                  <m:r>
                    <m:t>2</m:t>
                  </m:r>
                </m:sup>
              </m:sSup>
              <m:r>
                <m:t>L</m:t>
              </m:r>
            </m:den>
          </m:f>
        </m:oMath>
      </m:oMathPara>
    </w:p>
    <w:p>
      <w:pPr>
        <w:pStyle w:val="FirstParagraph"/>
      </w:pPr>
      <w:r>
        <w:rPr>
          <w:b/>
          <w:bCs/>
        </w:rPr>
        <w:t xml:space="preserve">Où :</w:t>
      </w:r>
      <w:r>
        <w:t xml:space="preserve"> </w:t>
      </w:r>
      <w:r>
        <w:t xml:space="preserve">-</w:t>
      </w:r>
      <w:r>
        <w:t xml:space="preserve"> </w:t>
      </w:r>
      <m:oMath>
        <m:sSub>
          <m:e>
            <m:r>
              <m:t>P</m:t>
            </m:r>
          </m:e>
          <m:sub>
            <m:r>
              <m:t>r</m:t>
            </m:r>
          </m:sub>
        </m:sSub>
        <m:d>
          <m:dPr>
            <m:begChr m:val="("/>
            <m:endChr m:val=")"/>
            <m:sepChr m:val=""/>
            <m:grow/>
          </m:dPr>
          <m:e>
            <m:r>
              <m:t>d</m:t>
            </m:r>
          </m:e>
        </m:d>
      </m:oMath>
      <w:r>
        <w:t xml:space="preserve"> </w:t>
      </w:r>
      <w:r>
        <w:t xml:space="preserve">: puissance reçue à une distance</w:t>
      </w:r>
      <w:r>
        <w:t xml:space="preserve"> </w:t>
      </w:r>
      <m:oMath>
        <m:r>
          <m:t>d</m:t>
        </m:r>
      </m:oMath>
      <w:r>
        <w:t xml:space="preserve"> </w:t>
      </w:r>
      <w:r>
        <w:t xml:space="preserve">-</w:t>
      </w:r>
      <w:r>
        <w:t xml:space="preserve"> </w:t>
      </w:r>
      <m:oMath>
        <m:sSub>
          <m:e>
            <m:r>
              <m:t>P</m:t>
            </m:r>
          </m:e>
          <m:sub>
            <m:r>
              <m:t>t</m:t>
            </m:r>
          </m:sub>
        </m:sSub>
      </m:oMath>
      <w:r>
        <w:t xml:space="preserve"> </w:t>
      </w:r>
      <w:r>
        <w:t xml:space="preserve">: puissance transmise</w:t>
      </w:r>
      <w:r>
        <w:t xml:space="preserve"> </w:t>
      </w:r>
      <w:r>
        <w:t xml:space="preserve">-</w:t>
      </w:r>
      <w:r>
        <w:t xml:space="preserve"> </w:t>
      </w:r>
      <m:oMath>
        <m:sSub>
          <m:e>
            <m:r>
              <m:t>G</m:t>
            </m:r>
          </m:e>
          <m:sub>
            <m:r>
              <m:t>t</m:t>
            </m:r>
          </m:sub>
        </m:sSub>
      </m:oMath>
      <w:r>
        <w:t xml:space="preserve">,</w:t>
      </w:r>
      <w:r>
        <w:t xml:space="preserve"> </w:t>
      </w:r>
      <m:oMath>
        <m:sSub>
          <m:e>
            <m:r>
              <m:t>G</m:t>
            </m:r>
          </m:e>
          <m:sub>
            <m:r>
              <m:t>r</m:t>
            </m:r>
          </m:sub>
        </m:sSub>
      </m:oMath>
      <w:r>
        <w:t xml:space="preserve"> </w:t>
      </w:r>
      <w:r>
        <w:t xml:space="preserve">: gain des antennes émettrice et réceptrice</w:t>
      </w:r>
      <w:r>
        <w:t xml:space="preserve"> </w:t>
      </w:r>
      <w:r>
        <w:t xml:space="preserve">-</w:t>
      </w:r>
      <w:r>
        <w:t xml:space="preserve"> </w:t>
      </w:r>
      <m:oMath>
        <m:r>
          <m:t>λ</m:t>
        </m:r>
      </m:oMath>
      <w:r>
        <w:t xml:space="preserve"> </w:t>
      </w:r>
      <w:r>
        <w:t xml:space="preserve">: longueur d’onde (</w:t>
      </w:r>
      <m:oMath>
        <m:r>
          <m:t>λ</m:t>
        </m:r>
        <m:r>
          <m:rPr>
            <m:sty m:val="p"/>
          </m:rPr>
          <m:t>=</m:t>
        </m:r>
        <m:r>
          <m:t>c</m:t>
        </m:r>
        <m:r>
          <m:rPr>
            <m:sty m:val="p"/>
          </m:rPr>
          <m:t>/</m:t>
        </m:r>
        <m:r>
          <m:t>f</m:t>
        </m:r>
      </m:oMath>
      <w:r>
        <w:t xml:space="preserve">)</w:t>
      </w:r>
      <w:r>
        <w:t xml:space="preserve"> </w:t>
      </w:r>
      <w:r>
        <w:t xml:space="preserve">-</w:t>
      </w:r>
      <w:r>
        <w:t xml:space="preserve"> </w:t>
      </w:r>
      <m:oMath>
        <m:r>
          <m:t>L</m:t>
        </m:r>
      </m:oMath>
      <w:r>
        <w:t xml:space="preserve"> </w:t>
      </w:r>
      <w:r>
        <w:t xml:space="preserve">: pertes système (câbles, connecteurs…)</w:t>
      </w:r>
      <w:r>
        <w:t xml:space="preserve"> </w:t>
      </w:r>
      <w:r>
        <w:t xml:space="preserve">-</w:t>
      </w:r>
      <w:r>
        <w:t xml:space="preserve"> </w:t>
      </w:r>
      <m:oMath>
        <m:r>
          <m:t>d</m:t>
        </m:r>
      </m:oMath>
      <w:r>
        <w:t xml:space="preserve"> </w:t>
      </w:r>
      <w:r>
        <w:t xml:space="preserve">: distance entre émetteur et récepteur</w:t>
      </w:r>
    </w:p>
    <w:p>
      <w:pPr>
        <w:pStyle w:val="BodyText"/>
      </w:pPr>
      <w:r>
        <w:t xml:space="preserve">En dB, cela devient :</w:t>
      </w:r>
    </w:p>
    <w:p>
      <w:pPr>
        <w:pStyle w:val="BodyText"/>
      </w:pPr>
      <m:oMathPara>
        <m:oMathParaPr>
          <m:jc m:val="center"/>
        </m:oMathParaPr>
        <m:oMath>
          <m:sSub>
            <m:e>
              <m:r>
                <m:t>P</m:t>
              </m:r>
            </m:e>
            <m:sub>
              <m:r>
                <m:t>r</m:t>
              </m:r>
            </m:sub>
          </m:sSub>
          <m:d>
            <m:dPr>
              <m:begChr m:val="("/>
              <m:endChr m:val=")"/>
              <m:sepChr m:val=""/>
              <m:grow/>
            </m:dPr>
            <m:e>
              <m:r>
                <m:t>d</m:t>
              </m:r>
              <m:r>
                <m:t>B</m:t>
              </m:r>
            </m:e>
          </m:d>
          <m:r>
            <m:rPr>
              <m:sty m:val="p"/>
            </m:rPr>
            <m:t>=</m:t>
          </m:r>
          <m:sSub>
            <m:e>
              <m:r>
                <m:t>P</m:t>
              </m:r>
            </m:e>
            <m:sub>
              <m:r>
                <m:t>t</m:t>
              </m:r>
            </m:sub>
          </m:sSub>
          <m:d>
            <m:dPr>
              <m:begChr m:val="("/>
              <m:endChr m:val=")"/>
              <m:sepChr m:val=""/>
              <m:grow/>
            </m:dPr>
            <m:e>
              <m:r>
                <m:t>d</m:t>
              </m:r>
              <m:r>
                <m:t>B</m:t>
              </m:r>
            </m:e>
          </m:d>
          <m:r>
            <m:rPr>
              <m:sty m:val="p"/>
            </m:rPr>
            <m:t>+</m:t>
          </m:r>
          <m:sSub>
            <m:e>
              <m:r>
                <m:t>G</m:t>
              </m:r>
            </m:e>
            <m:sub>
              <m:r>
                <m:t>t</m:t>
              </m:r>
            </m:sub>
          </m:sSub>
          <m:d>
            <m:dPr>
              <m:begChr m:val="("/>
              <m:endChr m:val=")"/>
              <m:sepChr m:val=""/>
              <m:grow/>
            </m:dPr>
            <m:e>
              <m:r>
                <m:t>d</m:t>
              </m:r>
              <m:r>
                <m:t>B</m:t>
              </m:r>
            </m:e>
          </m:d>
          <m:r>
            <m:rPr>
              <m:sty m:val="p"/>
            </m:rPr>
            <m:t>+</m:t>
          </m:r>
          <m:sSub>
            <m:e>
              <m:r>
                <m:t>G</m:t>
              </m:r>
            </m:e>
            <m:sub>
              <m:r>
                <m:t>r</m:t>
              </m:r>
            </m:sub>
          </m:sSub>
          <m:d>
            <m:dPr>
              <m:begChr m:val="("/>
              <m:endChr m:val=")"/>
              <m:sepChr m:val=""/>
              <m:grow/>
            </m:dPr>
            <m:e>
              <m:r>
                <m:t>d</m:t>
              </m:r>
              <m:r>
                <m:t>B</m:t>
              </m:r>
            </m:e>
          </m:d>
          <m:r>
            <m:rPr>
              <m:sty m:val="p"/>
            </m:rPr>
            <m:t>−</m:t>
          </m:r>
          <m:r>
            <m:t>20</m:t>
          </m:r>
          <m:sSub>
            <m:e>
              <m:r>
                <m:rPr>
                  <m:sty m:val="p"/>
                </m:rPr>
                <m:t>log</m:t>
              </m:r>
            </m:e>
            <m:sub>
              <m:r>
                <m:t>10</m:t>
              </m:r>
            </m:sub>
          </m:sSub>
          <m:d>
            <m:dPr>
              <m:begChr m:val="("/>
              <m:endChr m:val=")"/>
              <m:sepChr m:val=""/>
              <m:grow/>
            </m:dPr>
            <m:e>
              <m:r>
                <m:t>4</m:t>
              </m:r>
              <m:r>
                <m:t>π</m:t>
              </m:r>
              <m:r>
                <m:t>d</m:t>
              </m:r>
              <m:r>
                <m:rPr>
                  <m:sty m:val="p"/>
                </m:rPr>
                <m:t>/</m:t>
              </m:r>
              <m:r>
                <m:t>λ</m:t>
              </m:r>
            </m:e>
          </m:d>
          <m:r>
            <m:rPr>
              <m:sty m:val="p"/>
            </m:rPr>
            <m:t>−</m:t>
          </m:r>
          <m:r>
            <m:t>L</m:t>
          </m:r>
          <m:d>
            <m:dPr>
              <m:begChr m:val="("/>
              <m:endChr m:val=")"/>
              <m:sepChr m:val=""/>
              <m:grow/>
            </m:dPr>
            <m:e>
              <m:r>
                <m:t>d</m:t>
              </m:r>
              <m:r>
                <m:t>B</m:t>
              </m:r>
            </m:e>
          </m:d>
        </m:oMath>
      </m:oMathPara>
    </w:p>
    <w:bookmarkEnd w:id="36"/>
    <w:bookmarkStart w:id="37" w:name="modèles-plus-réalistes"/>
    <w:p>
      <w:pPr>
        <w:pStyle w:val="Heading2"/>
      </w:pPr>
      <w:r>
        <w:t xml:space="preserve">Modèles plus réalistes</w:t>
      </w:r>
    </w:p>
    <w:p>
      <w:pPr>
        <w:pStyle w:val="Compact"/>
        <w:numPr>
          <w:ilvl w:val="0"/>
          <w:numId w:val="1001"/>
        </w:numPr>
      </w:pPr>
      <w:r>
        <w:rPr>
          <w:b/>
          <w:bCs/>
        </w:rPr>
        <w:t xml:space="preserve">Modèle à deux trajets (sol) :</w:t>
      </w:r>
      <w:r>
        <w:t xml:space="preserve"> </w:t>
      </w:r>
      <w:r>
        <w:t xml:space="preserve">présence d’un trajet direct + un trajet réfléchi sur le sol.</w:t>
      </w:r>
    </w:p>
    <w:p>
      <w:pPr>
        <w:pStyle w:val="Compact"/>
        <w:numPr>
          <w:ilvl w:val="0"/>
          <w:numId w:val="1001"/>
        </w:numPr>
      </w:pPr>
      <w:r>
        <w:rPr>
          <w:b/>
          <w:bCs/>
        </w:rPr>
        <w:t xml:space="preserve">Modèle de diffraction (Ikegami, Walfisch-Bertoni)</w:t>
      </w:r>
      <w:r>
        <w:t xml:space="preserve"> </w:t>
      </w:r>
      <w:r>
        <w:t xml:space="preserve">: prise en compte de la géométrie urbaine.</w:t>
      </w:r>
    </w:p>
    <w:bookmarkEnd w:id="37"/>
    <w:bookmarkStart w:id="38" w:name="Xf3220a1cf1c171f5916e5ae58c13b40ffd35b7d"/>
    <w:p>
      <w:pPr>
        <w:pStyle w:val="Heading2"/>
      </w:pPr>
      <w:r>
        <w:t xml:space="preserve">Loi de décroissance de la puissance (modèle général)</w:t>
      </w:r>
    </w:p>
    <w:p>
      <w:pPr>
        <w:pStyle w:val="FirstParagraph"/>
      </w:pPr>
      <m:oMathPara>
        <m:oMathParaPr>
          <m:jc m:val="center"/>
        </m:oMathParaPr>
        <m:oMath>
          <m:sSub>
            <m:e>
              <m:r>
                <m:t>P</m:t>
              </m:r>
            </m:e>
            <m:sub>
              <m:r>
                <m:t>r</m:t>
              </m:r>
            </m:sub>
          </m:sSub>
          <m:d>
            <m:dPr>
              <m:begChr m:val="("/>
              <m:endChr m:val=")"/>
              <m:sepChr m:val=""/>
              <m:grow/>
            </m:dPr>
            <m:e>
              <m:r>
                <m:t>d</m:t>
              </m:r>
            </m:e>
          </m:d>
          <m:r>
            <m:rPr>
              <m:sty m:val="p"/>
            </m:rPr>
            <m:t>=</m:t>
          </m:r>
          <m:sSub>
            <m:e>
              <m:r>
                <m:t>P</m:t>
              </m:r>
            </m:e>
            <m:sub>
              <m:r>
                <m:t>0</m:t>
              </m:r>
            </m:sub>
          </m:sSub>
          <m:sSup>
            <m:e>
              <m:d>
                <m:dPr>
                  <m:begChr m:val="("/>
                  <m:endChr m:val=")"/>
                  <m:sepChr m:val=""/>
                  <m:grow/>
                </m:dPr>
                <m:e>
                  <m:f>
                    <m:fPr>
                      <m:type m:val="bar"/>
                    </m:fPr>
                    <m:num>
                      <m:sSub>
                        <m:e>
                          <m:r>
                            <m:t>d</m:t>
                          </m:r>
                        </m:e>
                        <m:sub>
                          <m:r>
                            <m:t>0</m:t>
                          </m:r>
                        </m:sub>
                      </m:sSub>
                    </m:num>
                    <m:den>
                      <m:r>
                        <m:t>d</m:t>
                      </m:r>
                    </m:den>
                  </m:f>
                </m:e>
              </m:d>
            </m:e>
            <m:sup>
              <m:r>
                <m:t>n</m:t>
              </m:r>
            </m:sup>
          </m:sSup>
        </m:oMath>
      </m:oMathPara>
    </w:p>
    <w:p>
      <w:pPr>
        <w:pStyle w:val="Compact"/>
        <w:numPr>
          <w:ilvl w:val="0"/>
          <w:numId w:val="1002"/>
        </w:numPr>
      </w:pPr>
      <m:oMath>
        <m:sSub>
          <m:e>
            <m:r>
              <m:t>P</m:t>
            </m:r>
          </m:e>
          <m:sub>
            <m:r>
              <m:t>0</m:t>
            </m:r>
          </m:sub>
        </m:sSub>
      </m:oMath>
      <w:r>
        <w:t xml:space="preserve"> </w:t>
      </w:r>
      <w:r>
        <w:t xml:space="preserve">: puissance à distance référence</w:t>
      </w:r>
      <w:r>
        <w:t xml:space="preserve"> </w:t>
      </w:r>
      <m:oMath>
        <m:sSub>
          <m:e>
            <m:r>
              <m:t>d</m:t>
            </m:r>
          </m:e>
          <m:sub>
            <m:r>
              <m:t>0</m:t>
            </m:r>
          </m:sub>
        </m:sSub>
      </m:oMath>
    </w:p>
    <w:p>
      <w:pPr>
        <w:pStyle w:val="Compact"/>
        <w:numPr>
          <w:ilvl w:val="0"/>
          <w:numId w:val="1002"/>
        </w:numPr>
      </w:pPr>
      <m:oMath>
        <m:r>
          <m:t>n</m:t>
        </m:r>
      </m:oMath>
      <w:r>
        <w:t xml:space="preserve"> </w:t>
      </w:r>
      <w:r>
        <w:t xml:space="preserve">: coefficient d’affaiblissement (entre 2 et 5)</w:t>
      </w:r>
    </w:p>
    <w:p>
      <w:r>
        <w:pict>
          <v:rect style="width:0;height:1.5pt" o:hralign="center" o:hrstd="t" o:hr="t"/>
        </w:pict>
      </w:r>
    </w:p>
    <w:bookmarkEnd w:id="38"/>
    <w:bookmarkEnd w:id="39"/>
    <w:bookmarkStart w:id="43" w:name="X3906dc65e10e4ec7c5276dfdd75cc1e9fa42ccc"/>
    <w:p>
      <w:pPr>
        <w:pStyle w:val="Heading1"/>
      </w:pPr>
      <w:r>
        <w:t xml:space="preserve">Multiplexage et répartition des fréquences</w:t>
      </w:r>
    </w:p>
    <w:bookmarkStart w:id="40" w:name="multiplexage-fréquentiel-fdma"/>
    <w:p>
      <w:pPr>
        <w:pStyle w:val="Heading2"/>
      </w:pPr>
      <w:r>
        <w:t xml:space="preserve">Multiplexage Fréquentiel (FDMA)</w:t>
      </w:r>
    </w:p>
    <w:p>
      <w:pPr>
        <w:pStyle w:val="FirstParagraph"/>
      </w:pPr>
      <w:r>
        <w:t xml:space="preserve">On divise le spectre en</w:t>
      </w:r>
      <w:r>
        <w:t xml:space="preserve"> </w:t>
      </w:r>
      <m:oMath>
        <m:r>
          <m:t>N</m:t>
        </m:r>
      </m:oMath>
      <w:r>
        <w:t xml:space="preserve"> </w:t>
      </w:r>
      <w:r>
        <w:t xml:space="preserve">canaux :</w:t>
      </w:r>
    </w:p>
    <w:p>
      <w:pPr>
        <w:pStyle w:val="BodyText"/>
      </w:pPr>
      <m:oMathPara>
        <m:oMathParaPr>
          <m:jc m:val="center"/>
        </m:oMathParaPr>
        <m:oMath>
          <m:sSub>
            <m:e>
              <m:r>
                <m:t>B</m:t>
              </m:r>
            </m:e>
            <m:sub>
              <m:r>
                <m:t>t</m:t>
              </m:r>
              <m:r>
                <m:t>o</m:t>
              </m:r>
              <m:r>
                <m:t>t</m:t>
              </m:r>
              <m:r>
                <m:t>a</m:t>
              </m:r>
              <m:r>
                <m:t>l</m:t>
              </m:r>
            </m:sub>
          </m:sSub>
          <m:r>
            <m:rPr>
              <m:sty m:val="p"/>
            </m:rPr>
            <m:t>=</m:t>
          </m:r>
          <m:r>
            <m:t>N</m:t>
          </m:r>
          <m:r>
            <m:rPr>
              <m:sty m:val="p"/>
            </m:rPr>
            <m:t>⋅</m:t>
          </m:r>
          <m:sSub>
            <m:e>
              <m:r>
                <m:t>B</m:t>
              </m:r>
            </m:e>
            <m:sub>
              <m:r>
                <m:t>c</m:t>
              </m:r>
              <m:r>
                <m:t>a</m:t>
              </m:r>
              <m:r>
                <m:t>n</m:t>
              </m:r>
              <m:r>
                <m:t>a</m:t>
              </m:r>
              <m:r>
                <m:t>l</m:t>
              </m:r>
            </m:sub>
          </m:sSub>
        </m:oMath>
      </m:oMathPara>
    </w:p>
    <w:p>
      <w:pPr>
        <w:pStyle w:val="FirstParagraph"/>
      </w:pPr>
      <w:r>
        <w:t xml:space="preserve">Chaque utilisateur utilise un canal fixe.</w:t>
      </w:r>
    </w:p>
    <w:bookmarkEnd w:id="40"/>
    <w:bookmarkStart w:id="41" w:name="multiplexage-temporel-tdma"/>
    <w:p>
      <w:pPr>
        <w:pStyle w:val="Heading2"/>
      </w:pPr>
      <w:r>
        <w:t xml:space="preserve">Multiplexage Temporel (TDMA)</w:t>
      </w:r>
    </w:p>
    <w:p>
      <w:pPr>
        <w:pStyle w:val="FirstParagraph"/>
      </w:pPr>
      <w:r>
        <w:t xml:space="preserve">Le temps est divisé en</w:t>
      </w:r>
      <w:r>
        <w:t xml:space="preserve"> </w:t>
      </w:r>
      <m:oMath>
        <m:r>
          <m:t>C</m:t>
        </m:r>
      </m:oMath>
      <w:r>
        <w:t xml:space="preserve"> </w:t>
      </w:r>
      <w:r>
        <w:t xml:space="preserve">créneaux de durée</w:t>
      </w:r>
      <w:r>
        <w:t xml:space="preserve"> </w:t>
      </w:r>
      <m:oMath>
        <m:r>
          <m:t>T</m:t>
        </m:r>
      </m:oMath>
      <w:r>
        <w:t xml:space="preserve"> </w:t>
      </w:r>
      <w:r>
        <w:t xml:space="preserve">:</w:t>
      </w:r>
    </w:p>
    <w:p>
      <w:pPr>
        <w:pStyle w:val="BodyText"/>
      </w:pPr>
      <m:oMathPara>
        <m:oMathParaPr>
          <m:jc m:val="center"/>
        </m:oMathParaPr>
        <m:oMath>
          <m:sSub>
            <m:e>
              <m:r>
                <m:t>T</m:t>
              </m:r>
            </m:e>
            <m:sub>
              <m:r>
                <m:t>t</m:t>
              </m:r>
              <m:r>
                <m:t>o</m:t>
              </m:r>
              <m:r>
                <m:t>t</m:t>
              </m:r>
              <m:r>
                <m:t>a</m:t>
              </m:r>
              <m:r>
                <m:t>l</m:t>
              </m:r>
            </m:sub>
          </m:sSub>
          <m:r>
            <m:rPr>
              <m:sty m:val="p"/>
            </m:rPr>
            <m:t>=</m:t>
          </m:r>
          <m:r>
            <m:t>C</m:t>
          </m:r>
          <m:r>
            <m:rPr>
              <m:sty m:val="p"/>
            </m:rPr>
            <m:t>⋅</m:t>
          </m:r>
          <m:r>
            <m:t>T</m:t>
          </m:r>
        </m:oMath>
      </m:oMathPara>
    </w:p>
    <w:p>
      <w:pPr>
        <w:pStyle w:val="FirstParagraph"/>
      </w:pPr>
      <w:r>
        <w:t xml:space="preserve">Chaque utilisateur communique à tour de rôle.</w:t>
      </w:r>
    </w:p>
    <w:bookmarkEnd w:id="41"/>
    <w:bookmarkStart w:id="42" w:name="combiné-tdmafdma"/>
    <w:p>
      <w:pPr>
        <w:pStyle w:val="Heading2"/>
      </w:pPr>
      <w:r>
        <w:t xml:space="preserve">Combiné TDMA/FDMA</w:t>
      </w:r>
    </w:p>
    <w:p>
      <w:pPr>
        <w:pStyle w:val="FirstParagraph"/>
      </w:pPr>
      <w:r>
        <w:t xml:space="preserve">Chaque canal fréquentiel est subdivisé en créneaux temporels, pour une meilleure utilisation du spectre.</w:t>
      </w:r>
    </w:p>
    <w:p>
      <w:r>
        <w:pict>
          <v:rect style="width:0;height:1.5pt" o:hralign="center" o:hrstd="t" o:hr="t"/>
        </w:pict>
      </w:r>
    </w:p>
    <w:bookmarkEnd w:id="42"/>
    <w:bookmarkEnd w:id="43"/>
    <w:bookmarkStart w:id="46" w:name="optimisation-du-placement-des-antennes"/>
    <w:p>
      <w:pPr>
        <w:pStyle w:val="Heading1"/>
      </w:pPr>
      <w:r>
        <w:t xml:space="preserve">Optimisation du placement des antennes</w:t>
      </w:r>
    </w:p>
    <w:bookmarkStart w:id="44" w:name="objectif-de-couverture"/>
    <w:p>
      <w:pPr>
        <w:pStyle w:val="Heading2"/>
      </w:pPr>
      <w:r>
        <w:t xml:space="preserve">Objectif de couverture</w:t>
      </w:r>
    </w:p>
    <w:p>
      <w:pPr>
        <w:pStyle w:val="FirstParagraph"/>
      </w:pPr>
      <w:r>
        <w:t xml:space="preserve">Donnons un modèle mathématique :</w:t>
      </w:r>
    </w:p>
    <w:p>
      <w:pPr>
        <w:pStyle w:val="BodyText"/>
      </w:pPr>
      <w:r>
        <w:t xml:space="preserve">Soit</w:t>
      </w:r>
      <w:r>
        <w:t xml:space="preserve"> </w:t>
      </w:r>
      <m:oMath>
        <m:sSub>
          <m:e>
            <m:r>
              <m:t>x</m:t>
            </m:r>
          </m:e>
          <m:sub>
            <m:r>
              <m:t>i</m:t>
            </m:r>
          </m:sub>
        </m:sSub>
      </m:oMath>
      <w:r>
        <w:t xml:space="preserve"> </w:t>
      </w:r>
      <w:r>
        <w:t xml:space="preserve">les coordonnées des antennes à placer,</w:t>
      </w:r>
      <w:r>
        <w:t xml:space="preserve"> </w:t>
      </w:r>
      <m:oMath>
        <m:sSub>
          <m:e>
            <m:r>
              <m:t>y</m:t>
            </m:r>
          </m:e>
          <m:sub>
            <m:r>
              <m:t>j</m:t>
            </m:r>
          </m:sub>
        </m:sSub>
      </m:oMath>
      <w:r>
        <w:t xml:space="preserve"> </w:t>
      </w:r>
      <w:r>
        <w:t xml:space="preserve">les points à couvrir.</w:t>
      </w:r>
    </w:p>
    <w:p>
      <w:pPr>
        <w:pStyle w:val="Compact"/>
        <w:numPr>
          <w:ilvl w:val="0"/>
          <w:numId w:val="1003"/>
        </w:numPr>
      </w:pPr>
      <m:oMath>
        <m:sSub>
          <m:e>
            <m:r>
              <m:t>P</m:t>
            </m:r>
          </m:e>
          <m:sub>
            <m:r>
              <m:t>i</m:t>
            </m:r>
            <m:r>
              <m:t>j</m:t>
            </m:r>
          </m:sub>
        </m:sSub>
      </m:oMath>
      <w:r>
        <w:t xml:space="preserve"> </w:t>
      </w:r>
      <w:r>
        <w:t xml:space="preserve">: puissance reçue à</w:t>
      </w:r>
      <w:r>
        <w:t xml:space="preserve"> </w:t>
      </w:r>
      <m:oMath>
        <m:sSub>
          <m:e>
            <m:r>
              <m:t>y</m:t>
            </m:r>
          </m:e>
          <m:sub>
            <m:r>
              <m:t>j</m:t>
            </m:r>
          </m:sub>
        </m:sSub>
      </m:oMath>
      <w:r>
        <w:t xml:space="preserve"> </w:t>
      </w:r>
      <w:r>
        <w:t xml:space="preserve">depuis l’antenne</w:t>
      </w:r>
      <w:r>
        <w:t xml:space="preserve"> </w:t>
      </w:r>
      <m:oMath>
        <m:r>
          <m:t>i</m:t>
        </m:r>
      </m:oMath>
      <w:r>
        <w:t xml:space="preserve">.</w:t>
      </w:r>
    </w:p>
    <w:p>
      <w:pPr>
        <w:pStyle w:val="Compact"/>
        <w:numPr>
          <w:ilvl w:val="0"/>
          <w:numId w:val="1003"/>
        </w:numPr>
      </w:pPr>
      <m:oMath>
        <m:r>
          <m:t>γ</m:t>
        </m:r>
      </m:oMath>
      <w:r>
        <w:t xml:space="preserve"> </w:t>
      </w:r>
      <w:r>
        <w:t xml:space="preserve">: seuil minimum de puissance.</w:t>
      </w:r>
    </w:p>
    <w:p>
      <w:pPr>
        <w:pStyle w:val="FirstParagraph"/>
      </w:pPr>
      <w:r>
        <w:rPr>
          <w:b/>
          <w:bCs/>
        </w:rPr>
        <w:t xml:space="preserve">Contraintes :</w:t>
      </w:r>
    </w:p>
    <w:p>
      <w:pPr>
        <w:pStyle w:val="BodyText"/>
      </w:pPr>
      <m:oMathPara>
        <m:oMathParaPr>
          <m:jc m:val="center"/>
        </m:oMathParaPr>
        <m:oMath>
          <m:sSub>
            <m:e>
              <m:r>
                <m:t>P</m:t>
              </m:r>
            </m:e>
            <m:sub>
              <m:r>
                <m:t>i</m:t>
              </m:r>
              <m:r>
                <m:t>j</m:t>
              </m:r>
            </m:sub>
          </m:sSub>
          <m:r>
            <m:rPr>
              <m:sty m:val="p"/>
            </m:rPr>
            <m:t>≥</m:t>
          </m:r>
          <m:r>
            <m:t>γ</m:t>
          </m:r>
          <m:r>
            <m:t> </m:t>
          </m:r>
          <m:r>
            <m:rPr>
              <m:nor/>
              <m:sty m:val="p"/>
            </m:rPr>
            <m:t>pour tous </m:t>
          </m:r>
          <m:r>
            <m:t>j</m:t>
          </m:r>
          <m:r>
            <m:t> </m:t>
          </m:r>
          <m:r>
            <m:rPr>
              <m:sty m:val="p"/>
            </m:rPr>
            <m:t>⇒</m:t>
          </m:r>
          <m:r>
            <m:t> </m:t>
          </m:r>
          <m:sSub>
            <m:e>
              <m:r>
                <m:t>y</m:t>
              </m:r>
            </m:e>
            <m:sub>
              <m:r>
                <m:t>j</m:t>
              </m:r>
            </m:sub>
          </m:sSub>
          <m:r>
            <m:t> </m:t>
          </m:r>
          <m:r>
            <m:rPr>
              <m:nor/>
              <m:sty m:val="p"/>
            </m:rPr>
            <m:t>est couvert</m:t>
          </m:r>
        </m:oMath>
      </m:oMathPara>
    </w:p>
    <w:p>
      <w:pPr>
        <w:pStyle w:val="FirstParagraph"/>
      </w:pPr>
      <w:r>
        <w:rPr>
          <w:b/>
          <w:bCs/>
        </w:rPr>
        <w:t xml:space="preserve">Fonction objectif (par exemple) :</w:t>
      </w:r>
    </w:p>
    <w:p>
      <w:pPr>
        <w:pStyle w:val="Compact"/>
        <w:numPr>
          <w:ilvl w:val="0"/>
          <w:numId w:val="1004"/>
        </w:numPr>
      </w:pPr>
      <w:r>
        <w:t xml:space="preserve">Max. nombre de points couverts</w:t>
      </w:r>
    </w:p>
    <w:p>
      <w:pPr>
        <w:pStyle w:val="Compact"/>
        <w:numPr>
          <w:ilvl w:val="0"/>
          <w:numId w:val="1004"/>
        </w:numPr>
      </w:pPr>
      <w:r>
        <w:t xml:space="preserve">Min. nombre d’antennes placées</w:t>
      </w:r>
    </w:p>
    <w:p>
      <w:pPr>
        <w:pStyle w:val="Compact"/>
        <w:numPr>
          <w:ilvl w:val="0"/>
          <w:numId w:val="1004"/>
        </w:numPr>
      </w:pPr>
      <w:r>
        <w:t xml:space="preserve">Max. somme de puissances reçues (pondérées)</w:t>
      </w:r>
    </w:p>
    <w:bookmarkEnd w:id="44"/>
    <w:bookmarkStart w:id="45" w:name="modèles-dinterférences"/>
    <w:p>
      <w:pPr>
        <w:pStyle w:val="Heading2"/>
      </w:pPr>
      <w:r>
        <w:t xml:space="preserve">Modèles d’interférences</w:t>
      </w:r>
    </w:p>
    <w:p>
      <w:pPr>
        <w:pStyle w:val="FirstParagraph"/>
      </w:pPr>
      <w:r>
        <w:t xml:space="preserve">Le rapport signal-bruit (SNR) :</w:t>
      </w:r>
    </w:p>
    <w:p>
      <w:pPr>
        <w:pStyle w:val="BodyText"/>
      </w:pPr>
      <m:oMathPara>
        <m:oMathParaPr>
          <m:jc m:val="center"/>
        </m:oMathParaPr>
        <m:oMath>
          <m:r>
            <m:rPr>
              <m:nor/>
              <m:sty m:val="p"/>
            </m:rPr>
            <m:t>SNR</m:t>
          </m:r>
          <m:r>
            <m:rPr>
              <m:sty m:val="p"/>
            </m:rPr>
            <m:t>=</m:t>
          </m:r>
          <m:f>
            <m:fPr>
              <m:type m:val="bar"/>
            </m:fPr>
            <m:num>
              <m:sSub>
                <m:e>
                  <m:r>
                    <m:t>P</m:t>
                  </m:r>
                </m:e>
                <m:sub>
                  <m:r>
                    <m:t>s</m:t>
                  </m:r>
                  <m:r>
                    <m:t>i</m:t>
                  </m:r>
                  <m:r>
                    <m:t>g</m:t>
                  </m:r>
                  <m:r>
                    <m:t>n</m:t>
                  </m:r>
                  <m:r>
                    <m:t>a</m:t>
                  </m:r>
                  <m:r>
                    <m:t>l</m:t>
                  </m:r>
                </m:sub>
              </m:sSub>
            </m:num>
            <m:den>
              <m:sSub>
                <m:e>
                  <m:r>
                    <m:t>P</m:t>
                  </m:r>
                </m:e>
                <m:sub>
                  <m:r>
                    <m:t>b</m:t>
                  </m:r>
                  <m:r>
                    <m:t>r</m:t>
                  </m:r>
                  <m:r>
                    <m:t>u</m:t>
                  </m:r>
                  <m:r>
                    <m:t>i</m:t>
                  </m:r>
                  <m:r>
                    <m:t>t</m:t>
                  </m:r>
                </m:sub>
              </m:sSub>
              <m:r>
                <m:rPr>
                  <m:sty m:val="p"/>
                </m:rPr>
                <m:t>+</m:t>
              </m:r>
              <m:sSub>
                <m:e>
                  <m:r>
                    <m:t>P</m:t>
                  </m:r>
                </m:e>
                <m:sub>
                  <m:r>
                    <m:t>i</m:t>
                  </m:r>
                  <m:r>
                    <m:t>n</m:t>
                  </m:r>
                  <m:r>
                    <m:t>t</m:t>
                  </m:r>
                  <m:r>
                    <m:t>e</m:t>
                  </m:r>
                  <m:r>
                    <m:t>r</m:t>
                  </m:r>
                  <m:r>
                    <m:t>f</m:t>
                  </m:r>
                  <m:r>
                    <m:t>é</m:t>
                  </m:r>
                  <m:r>
                    <m:t>r</m:t>
                  </m:r>
                  <m:r>
                    <m:t>e</m:t>
                  </m:r>
                  <m:r>
                    <m:t>n</m:t>
                  </m:r>
                  <m:r>
                    <m:t>c</m:t>
                  </m:r>
                  <m:r>
                    <m:t>e</m:t>
                  </m:r>
                  <m:r>
                    <m:t>s</m:t>
                  </m:r>
                </m:sub>
              </m:sSub>
            </m:den>
          </m:f>
        </m:oMath>
      </m:oMathPara>
    </w:p>
    <w:p>
      <w:pPr>
        <w:pStyle w:val="FirstParagraph"/>
      </w:pPr>
      <w:r>
        <w:t xml:space="preserve">Une zone est jugée couverte si</w:t>
      </w:r>
      <w:r>
        <w:t xml:space="preserve"> </w:t>
      </w:r>
      <m:oMath>
        <m:r>
          <m:rPr>
            <m:nor/>
            <m:sty m:val="p"/>
          </m:rPr>
          <m:t>SNR</m:t>
        </m:r>
        <m:r>
          <m:rPr>
            <m:sty m:val="p"/>
          </m:rPr>
          <m:t>≥</m:t>
        </m:r>
        <m:r>
          <m:t>θ</m:t>
        </m:r>
      </m:oMath>
      <w:r>
        <w:t xml:space="preserve"> </w:t>
      </w:r>
      <w:r>
        <w:t xml:space="preserve">(seuil).</w:t>
      </w:r>
    </w:p>
    <w:p>
      <w:r>
        <w:pict>
          <v:rect style="width:0;height:1.5pt" o:hralign="center" o:hrstd="t" o:hr="t"/>
        </w:pict>
      </w:r>
    </w:p>
    <w:bookmarkEnd w:id="45"/>
    <w:bookmarkEnd w:id="46"/>
    <w:bookmarkStart w:id="47" w:name="X34c65afa3680800ffc95bfc47f0eb205c639e42"/>
    <w:p>
      <w:pPr>
        <w:pStyle w:val="Heading1"/>
      </w:pPr>
      <w:r>
        <w:t xml:space="preserve">Optimisation de l’assignation de fréquences</w:t>
      </w:r>
    </w:p>
    <w:p>
      <w:pPr>
        <w:pStyle w:val="FirstParagraph"/>
      </w:pPr>
      <w:r>
        <w:t xml:space="preserve">On affecte à chaque antenne</w:t>
      </w:r>
      <w:r>
        <w:t xml:space="preserve"> </w:t>
      </w:r>
      <m:oMath>
        <m:r>
          <m:t>i</m:t>
        </m:r>
      </m:oMath>
      <w:r>
        <w:t xml:space="preserve"> </w:t>
      </w:r>
      <w:r>
        <w:t xml:space="preserve">une fréquence</w:t>
      </w:r>
      <w:r>
        <w:t xml:space="preserve"> </w:t>
      </w:r>
      <m:oMath>
        <m:sSub>
          <m:e>
            <m:r>
              <m:t>f</m:t>
            </m:r>
          </m:e>
          <m:sub>
            <m:r>
              <m:t>i</m:t>
            </m:r>
          </m:sub>
        </m:sSub>
        <m:r>
          <m:rPr>
            <m:sty m:val="p"/>
          </m:rPr>
          <m:t>∈</m:t>
        </m:r>
        <m:r>
          <m:rPr>
            <m:sty m:val="p"/>
            <m:scr m:val="script"/>
          </m:rPr>
          <m:t>F</m:t>
        </m:r>
      </m:oMath>
      <w:r>
        <w:t xml:space="preserve">.</w:t>
      </w:r>
    </w:p>
    <w:p>
      <w:pPr>
        <w:pStyle w:val="BodyText"/>
      </w:pPr>
      <w:r>
        <w:t xml:space="preserve">Objectif :</w:t>
      </w:r>
    </w:p>
    <w:p>
      <w:pPr>
        <w:pStyle w:val="BodyText"/>
      </w:pPr>
      <m:oMathPara>
        <m:oMathParaPr>
          <m:jc m:val="center"/>
        </m:oMathParaPr>
        <m:oMath>
          <m:r>
            <m:rPr>
              <m:sty m:val="p"/>
            </m:rPr>
            <m:t>min</m:t>
          </m:r>
          <m:nary>
            <m:naryPr>
              <m:chr m:val="∑"/>
              <m:limLoc m:val="undOvr"/>
              <m:subHide m:val="off"/>
              <m:supHide m:val="on"/>
            </m:naryPr>
            <m:sub>
              <m:d>
                <m:dPr>
                  <m:begChr m:val="("/>
                  <m:endChr m:val=")"/>
                  <m:sepChr m:val=""/>
                  <m:grow/>
                </m:dPr>
                <m:e>
                  <m:r>
                    <m:t>i</m:t>
                  </m:r>
                  <m:r>
                    <m:rPr>
                      <m:sty m:val="p"/>
                    </m:rPr>
                    <m:t>,</m:t>
                  </m:r>
                  <m:r>
                    <m:t>j</m:t>
                  </m:r>
                </m:e>
              </m:d>
              <m:r>
                <m:rPr>
                  <m:sty m:val="p"/>
                </m:rPr>
                <m:t>∈</m:t>
              </m:r>
              <m:r>
                <m:rPr>
                  <m:nor/>
                  <m:sty m:val="p"/>
                </m:rPr>
                <m:t>Paires</m:t>
              </m:r>
            </m:sub>
            <m:sup>
              <m:r>
                <m:t>​</m:t>
              </m:r>
            </m:sup>
            <m:e>
              <m:sSub>
                <m:e>
                  <m:r>
                    <m:t>I</m:t>
                  </m:r>
                </m:e>
                <m:sub>
                  <m:r>
                    <m:t>i</m:t>
                  </m:r>
                  <m:r>
                    <m:t>j</m:t>
                  </m:r>
                </m:sub>
              </m:sSub>
            </m:e>
          </m:nary>
          <m:d>
            <m:dPr>
              <m:begChr m:val="("/>
              <m:endChr m:val=")"/>
              <m:sepChr m:val=""/>
              <m:grow/>
            </m:dPr>
            <m:e>
              <m:sSub>
                <m:e>
                  <m:r>
                    <m:t>f</m:t>
                  </m:r>
                </m:e>
                <m:sub>
                  <m:r>
                    <m:t>i</m:t>
                  </m:r>
                </m:sub>
              </m:sSub>
              <m:r>
                <m:rPr>
                  <m:sty m:val="p"/>
                </m:rPr>
                <m:t>,</m:t>
              </m:r>
              <m:sSub>
                <m:e>
                  <m:r>
                    <m:t>f</m:t>
                  </m:r>
                </m:e>
                <m:sub>
                  <m:r>
                    <m:t>j</m:t>
                  </m:r>
                </m:sub>
              </m:sSub>
            </m:e>
          </m:d>
        </m:oMath>
      </m:oMathPara>
    </w:p>
    <w:p>
      <w:pPr>
        <w:pStyle w:val="Compact"/>
        <w:numPr>
          <w:ilvl w:val="0"/>
          <w:numId w:val="1005"/>
        </w:numPr>
      </w:pPr>
      <m:oMath>
        <m:sSub>
          <m:e>
            <m:r>
              <m:t>I</m:t>
            </m:r>
          </m:e>
          <m:sub>
            <m:r>
              <m:t>i</m:t>
            </m:r>
            <m:r>
              <m:t>j</m:t>
            </m:r>
          </m:sub>
        </m:sSub>
      </m:oMath>
      <w:r>
        <w:t xml:space="preserve"> </w:t>
      </w:r>
      <w:r>
        <w:t xml:space="preserve">: fonction modélisant les interferences entre antennes</w:t>
      </w:r>
      <w:r>
        <w:t xml:space="preserve"> </w:t>
      </w:r>
      <m:oMath>
        <m:r>
          <m:t>i</m:t>
        </m:r>
      </m:oMath>
      <w:r>
        <w:t xml:space="preserve"> </w:t>
      </w:r>
      <w:r>
        <w:t xml:space="preserve">et</w:t>
      </w:r>
      <w:r>
        <w:t xml:space="preserve"> </w:t>
      </w:r>
      <m:oMath>
        <m:r>
          <m:t>j</m:t>
        </m:r>
      </m:oMath>
      <w:r>
        <w:t xml:space="preserve">.</w:t>
      </w:r>
    </w:p>
    <w:p>
      <w:pPr>
        <w:pStyle w:val="FirstParagraph"/>
      </w:pPr>
      <w:r>
        <w:t xml:space="preserve">C’est un</w:t>
      </w:r>
      <w:r>
        <w:t xml:space="preserve"> </w:t>
      </w:r>
      <w:r>
        <w:rPr>
          <w:b/>
          <w:bCs/>
        </w:rPr>
        <w:t xml:space="preserve">problème combinatoire</w:t>
      </w:r>
      <w:r>
        <w:t xml:space="preserve">, souvent traité par :</w:t>
      </w:r>
    </w:p>
    <w:p>
      <w:pPr>
        <w:pStyle w:val="Compact"/>
        <w:numPr>
          <w:ilvl w:val="0"/>
          <w:numId w:val="1006"/>
        </w:numPr>
      </w:pPr>
      <w:r>
        <w:t xml:space="preserve">Algorithmes gloutons</w:t>
      </w:r>
    </w:p>
    <w:p>
      <w:pPr>
        <w:pStyle w:val="Compact"/>
        <w:numPr>
          <w:ilvl w:val="0"/>
          <w:numId w:val="1006"/>
        </w:numPr>
      </w:pPr>
      <w:r>
        <w:t xml:space="preserve">Algorithmes génétiques</w:t>
      </w:r>
    </w:p>
    <w:p>
      <w:pPr>
        <w:pStyle w:val="Compact"/>
        <w:numPr>
          <w:ilvl w:val="0"/>
          <w:numId w:val="1006"/>
        </w:numPr>
      </w:pPr>
      <w:r>
        <w:t xml:space="preserve">Recuit simulé (simulated annealing)</w:t>
      </w:r>
    </w:p>
    <w:p>
      <w:pPr>
        <w:pStyle w:val="Compact"/>
        <w:numPr>
          <w:ilvl w:val="0"/>
          <w:numId w:val="1006"/>
        </w:numPr>
      </w:pPr>
      <w:r>
        <w:t xml:space="preserve">Programmation linéaire en nombres entiers (MILP)</w:t>
      </w:r>
    </w:p>
    <w:p>
      <w:r>
        <w:pict>
          <v:rect style="width:0;height:1.5pt" o:hralign="center" o:hrstd="t" o:hr="t"/>
        </w:pict>
      </w:r>
    </w:p>
    <w:bookmarkEnd w:id="47"/>
    <w:bookmarkStart w:id="48" w:name="X1726c8fd948c2e46f555b860fe879a823731618"/>
    <w:p>
      <w:pPr>
        <w:pStyle w:val="Heading1"/>
      </w:pPr>
      <w:r>
        <w:t xml:space="preserve">Optimisation conjointe (placement + fréquence)</w:t>
      </w:r>
    </w:p>
    <w:p>
      <w:pPr>
        <w:pStyle w:val="FirstParagraph"/>
      </w:pPr>
      <w:r>
        <w:t xml:space="preserve">Fonction objectif conjointe :</w:t>
      </w:r>
    </w:p>
    <w:p>
      <w:pPr>
        <w:pStyle w:val="BodyText"/>
      </w:pPr>
      <m:oMathPara>
        <m:oMathParaPr>
          <m:jc m:val="center"/>
        </m:oMathParaPr>
        <m:oMath>
          <m:r>
            <m:rPr>
              <m:sty m:val="p"/>
            </m:rPr>
            <m:t>min</m:t>
          </m:r>
          <m:d>
            <m:dPr>
              <m:begChr m:val="["/>
              <m:endChr m:val="]"/>
              <m:sepChr m:val=""/>
              <m:grow/>
            </m:dPr>
            <m:e>
              <m:sSub>
                <m:e>
                  <m:r>
                    <m:rPr>
                      <m:nor/>
                      <m:sty m:val="p"/>
                    </m:rPr>
                    <m:t>coût</m:t>
                  </m:r>
                </m:e>
                <m:sub>
                  <m:r>
                    <m:t>p</m:t>
                  </m:r>
                  <m:r>
                    <m:t>l</m:t>
                  </m:r>
                  <m:r>
                    <m:t>a</m:t>
                  </m:r>
                  <m:r>
                    <m:t>c</m:t>
                  </m:r>
                  <m:r>
                    <m:t>e</m:t>
                  </m:r>
                  <m:r>
                    <m:t>m</m:t>
                  </m:r>
                  <m:r>
                    <m:t>e</m:t>
                  </m:r>
                  <m:r>
                    <m:t>n</m:t>
                  </m:r>
                  <m:r>
                    <m:t>t</m:t>
                  </m:r>
                </m:sub>
              </m:sSub>
              <m:r>
                <m:rPr>
                  <m:sty m:val="p"/>
                </m:rPr>
                <m:t>+</m:t>
              </m:r>
              <m:r>
                <m:rPr>
                  <m:nor/>
                  <m:sty m:val="p"/>
                </m:rPr>
                <m:t>interférences</m:t>
              </m:r>
            </m:e>
          </m:d>
        </m:oMath>
      </m:oMathPara>
    </w:p>
    <w:p>
      <w:pPr>
        <w:pStyle w:val="FirstParagraph"/>
      </w:pPr>
      <w:r>
        <w:t xml:space="preserve">On doit déterminer simultanément :</w:t>
      </w:r>
    </w:p>
    <w:p>
      <w:pPr>
        <w:pStyle w:val="Compact"/>
        <w:numPr>
          <w:ilvl w:val="0"/>
          <w:numId w:val="1007"/>
        </w:numPr>
      </w:pPr>
      <w:r>
        <w:t xml:space="preserve">Coordonnées</w:t>
      </w:r>
      <w:r>
        <w:t xml:space="preserve"> </w:t>
      </w:r>
      <m:oMath>
        <m:sSub>
          <m:e>
            <m:r>
              <m:t>x</m:t>
            </m:r>
          </m:e>
          <m:sub>
            <m:r>
              <m:t>i</m:t>
            </m:r>
          </m:sub>
        </m:sSub>
      </m:oMath>
      <w:r>
        <w:t xml:space="preserve"> </w:t>
      </w:r>
      <w:r>
        <w:t xml:space="preserve">des antennes</w:t>
      </w:r>
    </w:p>
    <w:p>
      <w:pPr>
        <w:pStyle w:val="Compact"/>
        <w:numPr>
          <w:ilvl w:val="0"/>
          <w:numId w:val="1007"/>
        </w:numPr>
      </w:pPr>
      <w:r>
        <w:t xml:space="preserve">Fréquences</w:t>
      </w:r>
      <w:r>
        <w:t xml:space="preserve"> </w:t>
      </w:r>
      <m:oMath>
        <m:sSub>
          <m:e>
            <m:r>
              <m:t>f</m:t>
            </m:r>
          </m:e>
          <m:sub>
            <m:r>
              <m:t>i</m:t>
            </m:r>
          </m:sub>
        </m:sSub>
      </m:oMath>
      <w:r>
        <w:t xml:space="preserve"> </w:t>
      </w:r>
      <w:r>
        <w:t xml:space="preserve">associées</w:t>
      </w:r>
    </w:p>
    <w:p>
      <w:pPr>
        <w:pStyle w:val="FirstParagraph"/>
      </w:pPr>
      <w:r>
        <w:t xml:space="preserve">Algorithmes utilisables :</w:t>
      </w:r>
    </w:p>
    <w:p>
      <w:pPr>
        <w:pStyle w:val="Compact"/>
        <w:numPr>
          <w:ilvl w:val="0"/>
          <w:numId w:val="1008"/>
        </w:numPr>
      </w:pPr>
      <w:r>
        <w:t xml:space="preserve">Algorithmes évolutionnaires multi-objectifs</w:t>
      </w:r>
    </w:p>
    <w:p>
      <w:pPr>
        <w:pStyle w:val="Compact"/>
        <w:numPr>
          <w:ilvl w:val="0"/>
          <w:numId w:val="1008"/>
        </w:numPr>
      </w:pPr>
      <w:r>
        <w:t xml:space="preserve">Algorithmes hybrides</w:t>
      </w:r>
    </w:p>
    <w:p>
      <w:r>
        <w:pict>
          <v:rect style="width:0;height:1.5pt" o:hralign="center" o:hrstd="t" o:hr="t"/>
        </w:pict>
      </w:r>
    </w:p>
    <w:bookmarkEnd w:id="48"/>
    <w:bookmarkStart w:id="49" w:name="implémentation-r-idées"/>
    <w:p>
      <w:pPr>
        <w:pStyle w:val="Heading1"/>
      </w:pPr>
      <w:r>
        <w:t xml:space="preserve">Implémentation R (idées)</w:t>
      </w:r>
    </w:p>
    <w:p>
      <w:pPr>
        <w:pStyle w:val="Compact"/>
        <w:numPr>
          <w:ilvl w:val="0"/>
          <w:numId w:val="1009"/>
        </w:numPr>
      </w:pPr>
      <w:r>
        <w:t xml:space="preserve">Simuler une grille 10x10 avec</w:t>
      </w:r>
      <w:r>
        <w:t xml:space="preserve"> </w:t>
      </w:r>
      <w:r>
        <w:rPr>
          <w:rStyle w:val="VerbatimChar"/>
        </w:rPr>
        <w:t xml:space="preserve">expand.grid()</w:t>
      </w:r>
    </w:p>
    <w:p>
      <w:pPr>
        <w:pStyle w:val="Compact"/>
        <w:numPr>
          <w:ilvl w:val="0"/>
          <w:numId w:val="1009"/>
        </w:numPr>
      </w:pPr>
      <w:r>
        <w:t xml:space="preserve">Calculer les distances et puissances avec</w:t>
      </w:r>
      <w:r>
        <w:t xml:space="preserve"> </w:t>
      </w:r>
      <w:r>
        <w:rPr>
          <w:rStyle w:val="VerbatimChar"/>
        </w:rPr>
        <w:t xml:space="preserve">dist()</w:t>
      </w:r>
      <w:r>
        <w:t xml:space="preserve"> </w:t>
      </w:r>
      <w:r>
        <w:t xml:space="preserve">et la formule de Friis</w:t>
      </w:r>
    </w:p>
    <w:p>
      <w:pPr>
        <w:pStyle w:val="Compact"/>
        <w:numPr>
          <w:ilvl w:val="0"/>
          <w:numId w:val="1009"/>
        </w:numPr>
      </w:pPr>
      <w:r>
        <w:t xml:space="preserve">Optimisation via</w:t>
      </w:r>
      <w:r>
        <w:t xml:space="preserve"> </w:t>
      </w:r>
      <w:r>
        <w:rPr>
          <w:rStyle w:val="VerbatimChar"/>
        </w:rPr>
        <w:t xml:space="preserve">optim()</w:t>
      </w:r>
      <w:r>
        <w:t xml:space="preserve">,</w:t>
      </w:r>
      <w:r>
        <w:t xml:space="preserve"> </w:t>
      </w:r>
      <w:r>
        <w:rPr>
          <w:rStyle w:val="VerbatimChar"/>
        </w:rPr>
        <w:t xml:space="preserve">GA</w:t>
      </w:r>
      <w:r>
        <w:t xml:space="preserve">,</w:t>
      </w:r>
      <w:r>
        <w:t xml:space="preserve"> </w:t>
      </w:r>
      <w:r>
        <w:rPr>
          <w:rStyle w:val="VerbatimChar"/>
        </w:rPr>
        <w:t xml:space="preserve">GenSA</w:t>
      </w:r>
    </w:p>
    <w:p>
      <w:pPr>
        <w:pStyle w:val="Compact"/>
        <w:numPr>
          <w:ilvl w:val="0"/>
          <w:numId w:val="1009"/>
        </w:numPr>
      </w:pPr>
      <w:r>
        <w:t xml:space="preserve">Visualisation avec</w:t>
      </w:r>
      <w:r>
        <w:t xml:space="preserve"> </w:t>
      </w:r>
      <w:r>
        <w:rPr>
          <w:rStyle w:val="VerbatimChar"/>
        </w:rPr>
        <w:t xml:space="preserve">ggplot2</w:t>
      </w:r>
      <w:r>
        <w:t xml:space="preserve">,</w:t>
      </w:r>
      <w:r>
        <w:t xml:space="preserve"> </w:t>
      </w:r>
      <w:r>
        <w:rPr>
          <w:rStyle w:val="VerbatimChar"/>
        </w:rPr>
        <w:t xml:space="preserve">leaflet</w:t>
      </w:r>
      <w:r>
        <w:t xml:space="preserve">,</w:t>
      </w:r>
      <w:r>
        <w:t xml:space="preserve"> </w:t>
      </w:r>
      <w:r>
        <w:rPr>
          <w:rStyle w:val="VerbatimChar"/>
        </w:rPr>
        <w:t xml:space="preserve">shiny</w:t>
      </w:r>
    </w:p>
    <w:p>
      <w:r>
        <w:pict>
          <v:rect style="width:0;height:1.5pt" o:hralign="center" o:hrstd="t" o:hr="t"/>
        </w:pict>
      </w:r>
    </w:p>
    <w:bookmarkEnd w:id="49"/>
    <w:bookmarkStart w:id="50" w:name="conclusion"/>
    <w:p>
      <w:pPr>
        <w:pStyle w:val="Heading1"/>
      </w:pPr>
      <w:r>
        <w:t xml:space="preserve">Conclusion</w:t>
      </w:r>
    </w:p>
    <w:p>
      <w:pPr>
        <w:pStyle w:val="FirstParagraph"/>
      </w:pPr>
      <w:r>
        <w:t xml:space="preserve">Ce projet propose une modélisation rigoureuse du placement optimal des antennes, intégrant les principes physiques de propagation, les contraintes réseaux, et l’optimisation combinatoire. Il peut servir de base à une application Shiny interactive pour l’analyse territoriale au Sénégal.</w:t>
      </w:r>
    </w:p>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2" Target="media/rId22.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Optimisation du placement des antennes au Sénégal</dc:title>
  <dc:creator>SOMA Ben Idriss Diloma</dc:creator>
  <cp:keywords/>
  <dcterms:created xsi:type="dcterms:W3CDTF">2025-05-30T14:56:35Z</dcterms:created>
  <dcterms:modified xsi:type="dcterms:W3CDTF">2025-05-30T14:56:35Z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2025-05-30</vt:lpwstr>
  </property>
  <property fmtid="{D5CDD505-2E9C-101B-9397-08002B2CF9AE}" pid="3" name="output">
    <vt:lpwstr/>
  </property>
</Properties>
</file>