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4A1B0C"/>
          <w:sz w:val="48"/>
          <w:szCs w:val="48"/>
        </w:rPr>
        <w:t xml:space="preserve">NAPLAN Prep Hub</w:t>
      </w:r>
    </w:p>
    <w:p>
      <w:pPr>
        <w:spacing w:after="300"/>
      </w:pPr>
      <w:r>
        <w:rPr>
          <w:color w:val="5F5E5A"/>
          <w:sz w:val="28"/>
          <w:szCs w:val="28"/>
        </w:rPr>
        <w:t xml:space="preserve">Web Portal Design Plan</w:t>
      </w:r>
    </w:p>
    <w:p>
      <w:pPr>
        <w:pStyle w:val="Heading1"/>
        <w:spacing w:after="120" w:before="240"/>
      </w:pPr>
      <w:r>
        <w:t xml:space="preserve">1. Purpose &amp; Positioning</w:t>
      </w:r>
    </w:p>
    <w:p>
      <w:pPr>
        <w:spacing w:after="120"/>
      </w:pPr>
      <w:r>
        <w:t xml:space="preserve">A single, easy-to-understand web portal that helps Australian parents and students (Years 3, 5, 7, 9) with three things: understanding what the NAPLAN test covers, practicing realistic questions, and checking a student's current NAPLAN level. Benchmarked against Excel Test Zone, SubjectCoach, and LevelUp Exams.</w:t>
      </w:r>
    </w:p>
    <w:p>
      <w:pPr>
        <w:pStyle w:val="Heading1"/>
        <w:spacing w:after="120" w:before="240"/>
      </w:pPr>
      <w:r>
        <w:t xml:space="preserve">2. Competitor Study Summary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600"/>
      </w:tblGrid>
      <w:tr>
        <w:tc>
          <w:tcPr>
            <w:tcW w:type="dxa" w:w="2600"/>
            <w:shd w:fill="F7A026" w:val="clear"/>
          </w:tcPr>
          <w:p>
            <w:r>
              <w:rPr>
                <w:b/>
                <w:bCs/>
                <w:color w:val="FFFFFF"/>
                <w:sz w:val="20"/>
                <w:szCs w:val="20"/>
              </w:rPr>
              <w:t xml:space="preserve">Platform</w:t>
            </w:r>
          </w:p>
        </w:tc>
        <w:tc>
          <w:tcPr>
            <w:tcW w:type="dxa" w:w="3600"/>
            <w:shd w:fill="F7A026" w:val="clear"/>
          </w:tcPr>
          <w:p>
            <w:r>
              <w:rPr>
                <w:b/>
                <w:bCs/>
                <w:color w:val="FFFFFF"/>
                <w:sz w:val="20"/>
                <w:szCs w:val="20"/>
              </w:rPr>
              <w:t xml:space="preserve">Strength</w:t>
            </w:r>
          </w:p>
        </w:tc>
        <w:tc>
          <w:tcPr>
            <w:tcW w:type="dxa" w:w="3600"/>
            <w:shd w:fill="F7A026" w:val="clear"/>
          </w:tcPr>
          <w:p>
            <w:r>
              <w:rPr>
                <w:b/>
                <w:bCs/>
                <w:color w:val="FFFFFF"/>
                <w:sz w:val="20"/>
                <w:szCs w:val="20"/>
              </w:rPr>
              <w:t xml:space="preserve">Gap</w:t>
            </w:r>
          </w:p>
        </w:tc>
      </w:tr>
      <w:tr>
        <w:tc>
          <w:tcPr>
            <w:tcW w:type="dxa" w:w="2600"/>
          </w:tcPr>
          <w:p>
            <w:r>
              <w:rPr>
                <w:b w:val="false"/>
                <w:bCs w:val="false"/>
                <w:color w:val="000000"/>
                <w:sz w:val="20"/>
                <w:szCs w:val="20"/>
              </w:rPr>
              <w:t xml:space="preserve">Excel Test Zone</w:t>
            </w:r>
          </w:p>
        </w:tc>
        <w:tc>
          <w:tcPr>
            <w:tcW w:type="dxa" w:w="3600"/>
          </w:tcPr>
          <w:p>
            <w:r>
              <w:rPr>
                <w:b w:val="false"/>
                <w:bCs w:val="false"/>
                <w:color w:val="000000"/>
                <w:sz w:val="20"/>
                <w:szCs w:val="20"/>
              </w:rPr>
              <w:t xml:space="preserve">Simple 3-step onboarding, teacher-written questions, parent email reports</w:t>
            </w:r>
          </w:p>
        </w:tc>
        <w:tc>
          <w:tcPr>
            <w:tcW w:type="dxa" w:w="3600"/>
          </w:tcPr>
          <w:p>
            <w:r>
              <w:rPr>
                <w:b w:val="false"/>
                <w:bCs w:val="false"/>
                <w:color w:val="000000"/>
                <w:sz w:val="20"/>
                <w:szCs w:val="20"/>
              </w:rPr>
              <w:t xml:space="preserve">No live diagnostic / level check before starting</w:t>
            </w:r>
          </w:p>
        </w:tc>
      </w:tr>
      <w:tr>
        <w:tc>
          <w:tcPr>
            <w:tcW w:type="dxa" w:w="2600"/>
          </w:tcPr>
          <w:p>
            <w:r>
              <w:rPr>
                <w:b w:val="false"/>
                <w:bCs w:val="false"/>
                <w:color w:val="000000"/>
                <w:sz w:val="20"/>
                <w:szCs w:val="20"/>
              </w:rPr>
              <w:t xml:space="preserve">SubjectCoach</w:t>
            </w:r>
          </w:p>
        </w:tc>
        <w:tc>
          <w:tcPr>
            <w:tcW w:type="dxa" w:w="3600"/>
          </w:tcPr>
          <w:p>
            <w:r>
              <w:rPr>
                <w:b w:val="false"/>
                <w:bCs w:val="false"/>
                <w:color w:val="000000"/>
                <w:sz w:val="20"/>
                <w:szCs w:val="20"/>
              </w:rPr>
              <w:t xml:space="preserve">500+ tests, band-by-band strand tracking, AI writing scoring</w:t>
            </w:r>
          </w:p>
        </w:tc>
        <w:tc>
          <w:tcPr>
            <w:tcW w:type="dxa" w:w="3600"/>
          </w:tcPr>
          <w:p>
            <w:r>
              <w:rPr>
                <w:b w:val="false"/>
                <w:bCs w:val="false"/>
                <w:color w:val="000000"/>
                <w:sz w:val="20"/>
                <w:szCs w:val="20"/>
              </w:rPr>
              <w:t xml:space="preserve">Navigation is dense/multi-product; NAPLAN buried among many offerings</w:t>
            </w:r>
          </w:p>
        </w:tc>
      </w:tr>
      <w:tr>
        <w:tc>
          <w:tcPr>
            <w:tcW w:type="dxa" w:w="2600"/>
          </w:tcPr>
          <w:p>
            <w:r>
              <w:rPr>
                <w:b w:val="false"/>
                <w:bCs w:val="false"/>
                <w:color w:val="000000"/>
                <w:sz w:val="20"/>
                <w:szCs w:val="20"/>
              </w:rPr>
              <w:t xml:space="preserve">LevelUp Exams</w:t>
            </w:r>
          </w:p>
        </w:tc>
        <w:tc>
          <w:tcPr>
            <w:tcW w:type="dxa" w:w="3600"/>
          </w:tcPr>
          <w:p>
            <w:r>
              <w:rPr>
                <w:b w:val="false"/>
                <w:bCs w:val="false"/>
                <w:color w:val="000000"/>
                <w:sz w:val="20"/>
                <w:szCs w:val="20"/>
              </w:rPr>
              <w:t xml:space="preserve">One-time payment, no subscription, simple pricing</w:t>
            </w:r>
          </w:p>
        </w:tc>
        <w:tc>
          <w:tcPr>
            <w:tcW w:type="dxa" w:w="3600"/>
          </w:tcPr>
          <w:p>
            <w:r>
              <w:rPr>
                <w:b w:val="false"/>
                <w:bCs w:val="false"/>
                <w:color w:val="000000"/>
                <w:sz w:val="20"/>
                <w:szCs w:val="20"/>
              </w:rPr>
              <w:t xml:space="preserve">Fewer domain-specific insights, thinner test-agenda explanation</w:t>
            </w:r>
          </w:p>
        </w:tc>
      </w:tr>
    </w:tbl>
    <w:p>
      <w:pPr>
        <w:spacing w:after="120"/>
      </w:pPr>
      <w:r>
        <w:t xml:space="preserve"/>
      </w:r>
    </w:p>
    <w:p>
      <w:pPr>
        <w:spacing w:after="120"/>
      </w:pPr>
      <w:r>
        <w:rPr>
          <w:i/>
          <w:iCs/>
        </w:rPr>
        <w:t xml:space="preserve">Design takeaway: keep the site focused only on NAPLAN (no unrelated products in the nav), open with a plain-language explanation of the test, and put a level-check diagnostic front and centre — something none of the three competitors lead with.</w:t>
      </w:r>
    </w:p>
    <w:p>
      <w:pPr>
        <w:pStyle w:val="Heading1"/>
        <w:spacing w:after="120" w:before="240"/>
      </w:pPr>
      <w:r>
        <w:t xml:space="preserve">3. Information Architecture</w:t>
      </w:r>
    </w:p>
    <w:p>
      <w:pPr>
        <w:pStyle w:val="ListParagraph"/>
        <w:numPr>
          <w:ilvl w:val="0"/>
          <w:numId w:val="2"/>
        </w:numPr>
        <w:spacing w:after="60"/>
      </w:pPr>
      <w:r>
        <w:t xml:space="preserve">Home — hero, 3-pillar explainer, year-level picker</w:t>
      </w:r>
    </w:p>
    <w:p>
      <w:pPr>
        <w:pStyle w:val="ListParagraph"/>
        <w:numPr>
          <w:ilvl w:val="0"/>
          <w:numId w:val="2"/>
        </w:numPr>
        <w:spacing w:after="60"/>
      </w:pPr>
      <w:r>
        <w:t xml:space="preserve">Understand the Test — what NAPLAN is, domains, format, timing, by year level</w:t>
      </w:r>
    </w:p>
    <w:p>
      <w:pPr>
        <w:pStyle w:val="ListParagraph"/>
        <w:numPr>
          <w:ilvl w:val="0"/>
          <w:numId w:val="2"/>
        </w:numPr>
        <w:spacing w:after="60"/>
      </w:pPr>
      <w:r>
        <w:t xml:space="preserve">Practice Questions — browse by year level and domain (Reading, Writing, Numeracy, Conventions)</w:t>
      </w:r>
    </w:p>
    <w:p>
      <w:pPr>
        <w:pStyle w:val="ListParagraph"/>
        <w:numPr>
          <w:ilvl w:val="0"/>
          <w:numId w:val="2"/>
        </w:numPr>
        <w:spacing w:after="60"/>
      </w:pPr>
      <w:r>
        <w:t xml:space="preserve">Check My Level — short adaptive diagnostic, band result, strand breakdown</w:t>
      </w:r>
    </w:p>
    <w:p>
      <w:pPr>
        <w:pStyle w:val="ListParagraph"/>
        <w:numPr>
          <w:ilvl w:val="0"/>
          <w:numId w:val="2"/>
        </w:numPr>
        <w:spacing w:after="60"/>
      </w:pPr>
      <w:r>
        <w:t xml:space="preserve">My Progress — dashboard for logged-in users (parent + student view)</w:t>
      </w:r>
    </w:p>
    <w:p>
      <w:pPr>
        <w:pStyle w:val="ListParagraph"/>
        <w:numPr>
          <w:ilvl w:val="0"/>
          <w:numId w:val="2"/>
        </w:numPr>
        <w:spacing w:after="60"/>
      </w:pPr>
      <w:r>
        <w:t xml:space="preserve">Resources / FAQ — dates, scoring guide, tips</w:t>
      </w:r>
    </w:p>
    <w:p>
      <w:pPr>
        <w:pStyle w:val="ListParagraph"/>
        <w:numPr>
          <w:ilvl w:val="0"/>
          <w:numId w:val="2"/>
        </w:numPr>
        <w:spacing w:after="60"/>
      </w:pPr>
      <w:r>
        <w:t xml:space="preserve">Account — sign up, login, child profile switcher</w:t>
      </w:r>
    </w:p>
    <w:p>
      <w:pPr>
        <w:pStyle w:val="Heading1"/>
        <w:spacing w:after="120" w:before="240"/>
      </w:pPr>
      <w:r>
        <w:t xml:space="preserve">4. Core User Flows</w:t>
      </w:r>
    </w:p>
    <w:p>
      <w:pPr>
        <w:spacing w:after="120"/>
      </w:pPr>
      <w:r>
        <w:rPr>
          <w:b/>
          <w:bCs/>
        </w:rPr>
        <w:t xml:space="preserve">Flow 1 — First-time visitor:</w:t>
      </w:r>
    </w:p>
    <w:p>
      <w:pPr>
        <w:pStyle w:val="ListParagraph"/>
        <w:numPr>
          <w:ilvl w:val="0"/>
          <w:numId w:val="2"/>
        </w:numPr>
        <w:spacing w:after="60"/>
      </w:pPr>
      <w:r>
        <w:t xml:space="preserve">Land on Home → read 3-pillar summary → pick year level → choose "Check my level" or "Browse practice questions"</w:t>
      </w:r>
    </w:p>
    <w:p>
      <w:pPr>
        <w:spacing w:after="120"/>
      </w:pPr>
      <w:r>
        <w:rPr>
          <w:b/>
          <w:bCs/>
        </w:rPr>
        <w:t xml:space="preserve">Flow 2 — Level check:</w:t>
      </w:r>
    </w:p>
    <w:p>
      <w:pPr>
        <w:pStyle w:val="ListParagraph"/>
        <w:numPr>
          <w:ilvl w:val="0"/>
          <w:numId w:val="2"/>
        </w:numPr>
        <w:spacing w:after="60"/>
      </w:pPr>
      <w:r>
        <w:t xml:space="preserve">Select year level → 15-20 min short adaptive quiz across domains → instant band estimate + strand breakdown → recommended practice set</w:t>
      </w:r>
    </w:p>
    <w:p>
      <w:pPr>
        <w:spacing w:after="120"/>
      </w:pPr>
      <w:r>
        <w:rPr>
          <w:b/>
          <w:bCs/>
        </w:rPr>
        <w:t xml:space="preserve">Flow 3 — Practice:</w:t>
      </w:r>
    </w:p>
    <w:p>
      <w:pPr>
        <w:pStyle w:val="ListParagraph"/>
        <w:numPr>
          <w:ilvl w:val="0"/>
          <w:numId w:val="2"/>
        </w:numPr>
        <w:spacing w:after="60"/>
      </w:pPr>
      <w:r>
        <w:t xml:space="preserve">Select year + domain → practice test list → take test → instant marking with worked explanation → result saved to progress dashboard</w:t>
      </w:r>
    </w:p>
    <w:p>
      <w:pPr>
        <w:pStyle w:val="Heading1"/>
        <w:spacing w:after="120" w:before="240"/>
      </w:pPr>
      <w:r>
        <w:t xml:space="preserve">5. Page Coverage by Year Level</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800"/>
      </w:tblGrid>
      <w:tr>
        <w:tc>
          <w:tcPr>
            <w:tcW w:type="dxa" w:w="1800"/>
            <w:shd w:fill="F7A026" w:val="clear"/>
          </w:tcPr>
          <w:p>
            <w:r>
              <w:rPr>
                <w:b/>
                <w:bCs/>
                <w:color w:val="FFFFFF"/>
                <w:sz w:val="20"/>
                <w:szCs w:val="20"/>
              </w:rPr>
              <w:t xml:space="preserve">Year</w:t>
            </w:r>
          </w:p>
        </w:tc>
        <w:tc>
          <w:tcPr>
            <w:tcW w:type="dxa" w:w="4200"/>
            <w:shd w:fill="F7A026" w:val="clear"/>
          </w:tcPr>
          <w:p>
            <w:r>
              <w:rPr>
                <w:b/>
                <w:bCs/>
                <w:color w:val="FFFFFF"/>
                <w:sz w:val="20"/>
                <w:szCs w:val="20"/>
              </w:rPr>
              <w:t xml:space="preserve">Domains Covered</w:t>
            </w:r>
          </w:p>
        </w:tc>
        <w:tc>
          <w:tcPr>
            <w:tcW w:type="dxa" w:w="3800"/>
            <w:shd w:fill="F7A026" w:val="clear"/>
          </w:tcPr>
          <w:p>
            <w:r>
              <w:rPr>
                <w:b/>
                <w:bCs/>
                <w:color w:val="FFFFFF"/>
                <w:sz w:val="20"/>
                <w:szCs w:val="20"/>
              </w:rPr>
              <w:t xml:space="preserve">Format Notes</w:t>
            </w:r>
          </w:p>
        </w:tc>
      </w:tr>
      <w:tr>
        <w:tc>
          <w:tcPr>
            <w:tcW w:type="dxa" w:w="1800"/>
          </w:tcPr>
          <w:p>
            <w:r>
              <w:rPr>
                <w:b w:val="false"/>
                <w:bCs w:val="false"/>
                <w:color w:val="000000"/>
                <w:sz w:val="20"/>
                <w:szCs w:val="20"/>
              </w:rPr>
              <w:t xml:space="preserve">Year 3</w:t>
            </w:r>
          </w:p>
        </w:tc>
        <w:tc>
          <w:tcPr>
            <w:tcW w:type="dxa" w:w="4200"/>
          </w:tcPr>
          <w:p>
            <w:r>
              <w:rPr>
                <w:b w:val="false"/>
                <w:bCs w:val="false"/>
                <w:color w:val="000000"/>
                <w:sz w:val="20"/>
                <w:szCs w:val="20"/>
              </w:rPr>
              <w:t xml:space="preserve">Reading, Writing, Language Conventions, Numeracy</w:t>
            </w:r>
          </w:p>
        </w:tc>
        <w:tc>
          <w:tcPr>
            <w:tcW w:type="dxa" w:w="3800"/>
          </w:tcPr>
          <w:p>
            <w:r>
              <w:rPr>
                <w:b w:val="false"/>
                <w:bCs w:val="false"/>
                <w:color w:val="000000"/>
                <w:sz w:val="20"/>
                <w:szCs w:val="20"/>
              </w:rPr>
              <w:t xml:space="preserve">Writing stays paper-based per ACARA; simpler UI, larger text/buttons</w:t>
            </w:r>
          </w:p>
        </w:tc>
      </w:tr>
      <w:tr>
        <w:tc>
          <w:tcPr>
            <w:tcW w:type="dxa" w:w="1800"/>
          </w:tcPr>
          <w:p>
            <w:r>
              <w:rPr>
                <w:b w:val="false"/>
                <w:bCs w:val="false"/>
                <w:color w:val="000000"/>
                <w:sz w:val="20"/>
                <w:szCs w:val="20"/>
              </w:rPr>
              <w:t xml:space="preserve">Year 5</w:t>
            </w:r>
          </w:p>
        </w:tc>
        <w:tc>
          <w:tcPr>
            <w:tcW w:type="dxa" w:w="4200"/>
          </w:tcPr>
          <w:p>
            <w:r>
              <w:rPr>
                <w:b w:val="false"/>
                <w:bCs w:val="false"/>
                <w:color w:val="000000"/>
                <w:sz w:val="20"/>
                <w:szCs w:val="20"/>
              </w:rPr>
              <w:t xml:space="preserve">Reading, Writing, Language Conventions, Numeracy</w:t>
            </w:r>
          </w:p>
        </w:tc>
        <w:tc>
          <w:tcPr>
            <w:tcW w:type="dxa" w:w="3800"/>
          </w:tcPr>
          <w:p>
            <w:r>
              <w:rPr>
                <w:b w:val="false"/>
                <w:bCs w:val="false"/>
                <w:color w:val="000000"/>
                <w:sz w:val="20"/>
                <w:szCs w:val="20"/>
              </w:rPr>
              <w:t xml:space="preserve">Fully online, adaptive difficulty introduced</w:t>
            </w:r>
          </w:p>
        </w:tc>
      </w:tr>
      <w:tr>
        <w:tc>
          <w:tcPr>
            <w:tcW w:type="dxa" w:w="1800"/>
          </w:tcPr>
          <w:p>
            <w:r>
              <w:rPr>
                <w:b w:val="false"/>
                <w:bCs w:val="false"/>
                <w:color w:val="000000"/>
                <w:sz w:val="20"/>
                <w:szCs w:val="20"/>
              </w:rPr>
              <w:t xml:space="preserve">Year 7</w:t>
            </w:r>
          </w:p>
        </w:tc>
        <w:tc>
          <w:tcPr>
            <w:tcW w:type="dxa" w:w="4200"/>
          </w:tcPr>
          <w:p>
            <w:r>
              <w:rPr>
                <w:b w:val="false"/>
                <w:bCs w:val="false"/>
                <w:color w:val="000000"/>
                <w:sz w:val="20"/>
                <w:szCs w:val="20"/>
              </w:rPr>
              <w:t xml:space="preserve">Reading, Writing, Language Conventions, Numeracy</w:t>
            </w:r>
          </w:p>
        </w:tc>
        <w:tc>
          <w:tcPr>
            <w:tcW w:type="dxa" w:w="3800"/>
          </w:tcPr>
          <w:p>
            <w:r>
              <w:rPr>
                <w:b w:val="false"/>
                <w:bCs w:val="false"/>
                <w:color w:val="000000"/>
                <w:sz w:val="20"/>
                <w:szCs w:val="20"/>
              </w:rPr>
              <w:t xml:space="preserve">Fully online, adaptive difficulty, longer passages</w:t>
            </w:r>
          </w:p>
        </w:tc>
      </w:tr>
      <w:tr>
        <w:tc>
          <w:tcPr>
            <w:tcW w:type="dxa" w:w="1800"/>
          </w:tcPr>
          <w:p>
            <w:r>
              <w:rPr>
                <w:b w:val="false"/>
                <w:bCs w:val="false"/>
                <w:color w:val="000000"/>
                <w:sz w:val="20"/>
                <w:szCs w:val="20"/>
              </w:rPr>
              <w:t xml:space="preserve">Year 9</w:t>
            </w:r>
          </w:p>
        </w:tc>
        <w:tc>
          <w:tcPr>
            <w:tcW w:type="dxa" w:w="4200"/>
          </w:tcPr>
          <w:p>
            <w:r>
              <w:rPr>
                <w:b w:val="false"/>
                <w:bCs w:val="false"/>
                <w:color w:val="000000"/>
                <w:sz w:val="20"/>
                <w:szCs w:val="20"/>
              </w:rPr>
              <w:t xml:space="preserve">Reading, Writing, Language Conventions, Numeracy</w:t>
            </w:r>
          </w:p>
        </w:tc>
        <w:tc>
          <w:tcPr>
            <w:tcW w:type="dxa" w:w="3800"/>
          </w:tcPr>
          <w:p>
            <w:r>
              <w:rPr>
                <w:b w:val="false"/>
                <w:bCs w:val="false"/>
                <w:color w:val="000000"/>
                <w:sz w:val="20"/>
                <w:szCs w:val="20"/>
              </w:rPr>
              <w:t xml:space="preserve">Fully online, most advanced item bank</w:t>
            </w:r>
          </w:p>
        </w:tc>
      </w:tr>
    </w:tbl>
    <w:p>
      <w:pPr>
        <w:pStyle w:val="Heading1"/>
        <w:spacing w:after="120" w:before="240"/>
      </w:pPr>
      <w:r>
        <w:t xml:space="preserve">6. Visual Design System</w:t>
      </w:r>
    </w:p>
    <w:p>
      <w:pPr>
        <w:spacing w:after="120"/>
      </w:pPr>
      <w:r>
        <w:rPr>
          <w:b/>
          <w:bCs/>
        </w:rPr>
        <w:t xml:space="preserve">UI pattern: Soft Illustrative — chosen from 5 style options for its warm, approachable tone that works across the full Year 3-9 age range without feeling babyish or too corporate. Cream page background, rounded pill buttons and cards, and pastel circular icon badges instead of flat icons.</w:t>
      </w:r>
    </w:p>
    <w:p>
      <w:pPr>
        <w:spacing w:after="120"/>
      </w:pPr>
      <w:r>
        <w:t xml:space="preserve">Primary theme colour: #F7A026 (warm orange) — used for header bar accents, primary buttons, active states, and progress highlights. Kept off large background fills; cream (#FFFCF6 / #FFF9F0) carries the soft-illustrative warmth instead.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600"/>
      </w:tblGrid>
      <w:tr>
        <w:tc>
          <w:tcPr>
            <w:tcW w:type="dxa" w:w="2400"/>
            <w:shd w:fill="F7A026" w:val="clear"/>
          </w:tcPr>
          <w:p>
            <w:r>
              <w:rPr>
                <w:b/>
                <w:bCs/>
                <w:color w:val="FFFFFF"/>
                <w:sz w:val="20"/>
                <w:szCs w:val="20"/>
              </w:rPr>
              <w:t xml:space="preserve">Token</w:t>
            </w:r>
          </w:p>
        </w:tc>
        <w:tc>
          <w:tcPr>
            <w:tcW w:type="dxa" w:w="2400"/>
            <w:shd w:fill="F7A026" w:val="clear"/>
          </w:tcPr>
          <w:p>
            <w:r>
              <w:rPr>
                <w:b/>
                <w:bCs/>
                <w:color w:val="FFFFFF"/>
                <w:sz w:val="20"/>
                <w:szCs w:val="20"/>
              </w:rPr>
              <w:t xml:space="preserve">Value</w:t>
            </w:r>
          </w:p>
        </w:tc>
        <w:tc>
          <w:tcPr>
            <w:tcW w:type="dxa" w:w="4600"/>
            <w:shd w:fill="F7A026" w:val="clear"/>
          </w:tcPr>
          <w:p>
            <w:r>
              <w:rPr>
                <w:b/>
                <w:bCs/>
                <w:color w:val="FFFFFF"/>
                <w:sz w:val="20"/>
                <w:szCs w:val="20"/>
              </w:rPr>
              <w:t xml:space="preserve">Use</w:t>
            </w:r>
          </w:p>
        </w:tc>
      </w:tr>
      <w:tr>
        <w:tc>
          <w:tcPr>
            <w:tcW w:type="dxa" w:w="2400"/>
          </w:tcPr>
          <w:p>
            <w:r>
              <w:rPr>
                <w:b w:val="false"/>
                <w:bCs w:val="false"/>
                <w:color w:val="000000"/>
                <w:sz w:val="20"/>
                <w:szCs w:val="20"/>
              </w:rPr>
              <w:t xml:space="preserve">Primary</w:t>
            </w:r>
          </w:p>
        </w:tc>
        <w:tc>
          <w:tcPr>
            <w:tcW w:type="dxa" w:w="2400"/>
          </w:tcPr>
          <w:p>
            <w:r>
              <w:rPr>
                <w:b w:val="false"/>
                <w:bCs w:val="false"/>
                <w:color w:val="000000"/>
                <w:sz w:val="20"/>
                <w:szCs w:val="20"/>
              </w:rPr>
              <w:t xml:space="preserve">#F7A026</w:t>
            </w:r>
          </w:p>
        </w:tc>
        <w:tc>
          <w:tcPr>
            <w:tcW w:type="dxa" w:w="4600"/>
          </w:tcPr>
          <w:p>
            <w:r>
              <w:rPr>
                <w:b w:val="false"/>
                <w:bCs w:val="false"/>
                <w:color w:val="000000"/>
                <w:sz w:val="20"/>
                <w:szCs w:val="20"/>
              </w:rPr>
              <w:t xml:space="preserve">Header bar, primary CTA buttons, selected state</w:t>
            </w:r>
          </w:p>
        </w:tc>
      </w:tr>
      <w:tr>
        <w:tc>
          <w:tcPr>
            <w:tcW w:type="dxa" w:w="2400"/>
          </w:tcPr>
          <w:p>
            <w:r>
              <w:rPr>
                <w:b w:val="false"/>
                <w:bCs w:val="false"/>
                <w:color w:val="000000"/>
                <w:sz w:val="20"/>
                <w:szCs w:val="20"/>
              </w:rPr>
              <w:t xml:space="preserve">Primary text on orange</w:t>
            </w:r>
          </w:p>
        </w:tc>
        <w:tc>
          <w:tcPr>
            <w:tcW w:type="dxa" w:w="2400"/>
          </w:tcPr>
          <w:p>
            <w:r>
              <w:rPr>
                <w:b w:val="false"/>
                <w:bCs w:val="false"/>
                <w:color w:val="000000"/>
                <w:sz w:val="20"/>
                <w:szCs w:val="20"/>
              </w:rPr>
              <w:t xml:space="preserve">#4A1B0C</w:t>
            </w:r>
          </w:p>
        </w:tc>
        <w:tc>
          <w:tcPr>
            <w:tcW w:type="dxa" w:w="4600"/>
          </w:tcPr>
          <w:p>
            <w:r>
              <w:rPr>
                <w:b w:val="false"/>
                <w:bCs w:val="false"/>
                <w:color w:val="000000"/>
                <w:sz w:val="20"/>
                <w:szCs w:val="20"/>
              </w:rPr>
              <w:t xml:space="preserve">Text/icons placed on orange background</w:t>
            </w:r>
          </w:p>
        </w:tc>
      </w:tr>
      <w:tr>
        <w:tc>
          <w:tcPr>
            <w:tcW w:type="dxa" w:w="2400"/>
          </w:tcPr>
          <w:p>
            <w:r>
              <w:rPr>
                <w:b w:val="false"/>
                <w:bCs w:val="false"/>
                <w:color w:val="000000"/>
                <w:sz w:val="20"/>
                <w:szCs w:val="20"/>
              </w:rPr>
              <w:t xml:space="preserve">Neutral text</w:t>
            </w:r>
          </w:p>
        </w:tc>
        <w:tc>
          <w:tcPr>
            <w:tcW w:type="dxa" w:w="2400"/>
          </w:tcPr>
          <w:p>
            <w:r>
              <w:rPr>
                <w:b w:val="false"/>
                <w:bCs w:val="false"/>
                <w:color w:val="000000"/>
                <w:sz w:val="20"/>
                <w:szCs w:val="20"/>
              </w:rPr>
              <w:t xml:space="preserve">#2C2C2A / #5F5E5A</w:t>
            </w:r>
          </w:p>
        </w:tc>
        <w:tc>
          <w:tcPr>
            <w:tcW w:type="dxa" w:w="4600"/>
          </w:tcPr>
          <w:p>
            <w:r>
              <w:rPr>
                <w:b w:val="false"/>
                <w:bCs w:val="false"/>
                <w:color w:val="000000"/>
                <w:sz w:val="20"/>
                <w:szCs w:val="20"/>
              </w:rPr>
              <w:t xml:space="preserve">Body copy, secondary text</w:t>
            </w:r>
          </w:p>
        </w:tc>
      </w:tr>
      <w:tr>
        <w:tc>
          <w:tcPr>
            <w:tcW w:type="dxa" w:w="2400"/>
          </w:tcPr>
          <w:p>
            <w:r>
              <w:rPr>
                <w:b w:val="false"/>
                <w:bCs w:val="false"/>
                <w:color w:val="000000"/>
                <w:sz w:val="20"/>
                <w:szCs w:val="20"/>
              </w:rPr>
              <w:t xml:space="preserve">Surface</w:t>
            </w:r>
          </w:p>
        </w:tc>
        <w:tc>
          <w:tcPr>
            <w:tcW w:type="dxa" w:w="2400"/>
          </w:tcPr>
          <w:p>
            <w:r>
              <w:rPr>
                <w:b w:val="false"/>
                <w:bCs w:val="false"/>
                <w:color w:val="000000"/>
                <w:sz w:val="20"/>
                <w:szCs w:val="20"/>
              </w:rPr>
              <w:t xml:space="preserve">#FFFFFF / #F7F6F2</w:t>
            </w:r>
          </w:p>
        </w:tc>
        <w:tc>
          <w:tcPr>
            <w:tcW w:type="dxa" w:w="4600"/>
          </w:tcPr>
          <w:p>
            <w:r>
              <w:rPr>
                <w:b w:val="false"/>
                <w:bCs w:val="false"/>
                <w:color w:val="000000"/>
                <w:sz w:val="20"/>
                <w:szCs w:val="20"/>
              </w:rPr>
              <w:t xml:space="preserve">Cards, page background</w:t>
            </w:r>
          </w:p>
        </w:tc>
      </w:tr>
      <w:tr>
        <w:tc>
          <w:tcPr>
            <w:tcW w:type="dxa" w:w="2400"/>
          </w:tcPr>
          <w:p>
            <w:r>
              <w:rPr>
                <w:b w:val="false"/>
                <w:bCs w:val="false"/>
                <w:color w:val="000000"/>
                <w:sz w:val="20"/>
                <w:szCs w:val="20"/>
              </w:rPr>
              <w:t xml:space="preserve">Border</w:t>
            </w:r>
          </w:p>
        </w:tc>
        <w:tc>
          <w:tcPr>
            <w:tcW w:type="dxa" w:w="2400"/>
          </w:tcPr>
          <w:p>
            <w:r>
              <w:rPr>
                <w:b w:val="false"/>
                <w:bCs w:val="false"/>
                <w:color w:val="000000"/>
                <w:sz w:val="20"/>
                <w:szCs w:val="20"/>
              </w:rPr>
              <w:t xml:space="preserve">#E4E1D8</w:t>
            </w:r>
          </w:p>
        </w:tc>
        <w:tc>
          <w:tcPr>
            <w:tcW w:type="dxa" w:w="4600"/>
          </w:tcPr>
          <w:p>
            <w:r>
              <w:rPr>
                <w:b w:val="false"/>
                <w:bCs w:val="false"/>
                <w:color w:val="000000"/>
                <w:sz w:val="20"/>
                <w:szCs w:val="20"/>
              </w:rPr>
              <w:t xml:space="preserve">Card and input borders</w:t>
            </w:r>
          </w:p>
        </w:tc>
      </w:tr>
      <w:tr>
        <w:tc>
          <w:tcPr>
            <w:tcW w:type="dxa" w:w="2400"/>
          </w:tcPr>
          <w:p>
            <w:r>
              <w:rPr>
                <w:b w:val="false"/>
                <w:bCs w:val="false"/>
                <w:color w:val="000000"/>
                <w:sz w:val="20"/>
                <w:szCs w:val="20"/>
              </w:rPr>
              <w:t xml:space="preserve">Success accent</w:t>
            </w:r>
          </w:p>
        </w:tc>
        <w:tc>
          <w:tcPr>
            <w:tcW w:type="dxa" w:w="2400"/>
          </w:tcPr>
          <w:p>
            <w:r>
              <w:rPr>
                <w:b w:val="false"/>
                <w:bCs w:val="false"/>
                <w:color w:val="000000"/>
                <w:sz w:val="20"/>
                <w:szCs w:val="20"/>
              </w:rPr>
              <w:t xml:space="preserve">#3B6D11</w:t>
            </w:r>
          </w:p>
        </w:tc>
        <w:tc>
          <w:tcPr>
            <w:tcW w:type="dxa" w:w="4600"/>
          </w:tcPr>
          <w:p>
            <w:r>
              <w:rPr>
                <w:b w:val="false"/>
                <w:bCs w:val="false"/>
                <w:color w:val="000000"/>
                <w:sz w:val="20"/>
                <w:szCs w:val="20"/>
              </w:rPr>
              <w:t xml:space="preserve">Correct answers, pass state</w:t>
            </w:r>
          </w:p>
        </w:tc>
      </w:tr>
    </w:tbl>
    <w:p>
      <w:pPr>
        <w:spacing w:after="120"/>
      </w:pPr>
      <w:r>
        <w:t xml:space="preserve"/>
      </w:r>
    </w:p>
    <w:p>
      <w:pPr>
        <w:spacing w:after="120"/>
      </w:pPr>
      <w:r>
        <w:t xml:space="preserve">Typography: one sans-serif family, two weights only (regular / medium). Minimum 15px body text for readability by Year 3 students. Headings short and literal ("Practice questions", not clever taglines).</w:t>
      </w:r>
    </w:p>
    <w:p>
      <w:pPr>
        <w:spacing w:after="120"/>
      </w:pPr>
      <w:r>
        <w:rPr>
          <w:b/>
          <w:bCs/>
        </w:rPr>
        <w:t xml:space="preserve">Layout principles for first-time clarity:</w:t>
      </w:r>
    </w:p>
    <w:p>
      <w:pPr>
        <w:pStyle w:val="ListParagraph"/>
        <w:numPr>
          <w:ilvl w:val="0"/>
          <w:numId w:val="2"/>
        </w:numPr>
        <w:spacing w:after="60"/>
      </w:pPr>
      <w:r>
        <w:t xml:space="preserve">Every page opens with a one-sentence explanation of what the page is for</w:t>
      </w:r>
    </w:p>
    <w:p>
      <w:pPr>
        <w:pStyle w:val="ListParagraph"/>
        <w:numPr>
          <w:ilvl w:val="0"/>
          <w:numId w:val="2"/>
        </w:numPr>
        <w:spacing w:after="60"/>
      </w:pPr>
      <w:r>
        <w:t xml:space="preserve">Maximum 3 choices presented at once on the home page (Understand / Practice / Check level)</w:t>
      </w:r>
    </w:p>
    <w:p>
      <w:pPr>
        <w:pStyle w:val="ListParagraph"/>
        <w:numPr>
          <w:ilvl w:val="0"/>
          <w:numId w:val="2"/>
        </w:numPr>
        <w:spacing w:after="60"/>
      </w:pPr>
      <w:r>
        <w:t xml:space="preserve">Icons paired with every label — never icon-only navigation</w:t>
      </w:r>
    </w:p>
    <w:p>
      <w:pPr>
        <w:pStyle w:val="ListParagraph"/>
        <w:numPr>
          <w:ilvl w:val="0"/>
          <w:numId w:val="2"/>
        </w:numPr>
        <w:spacing w:after="60"/>
      </w:pPr>
      <w:r>
        <w:t xml:space="preserve">Year level always visible and switchable from a persistent top control</w:t>
      </w:r>
    </w:p>
    <w:p>
      <w:pPr>
        <w:pStyle w:val="ListParagraph"/>
        <w:numPr>
          <w:ilvl w:val="0"/>
          <w:numId w:val="2"/>
        </w:numPr>
        <w:spacing w:after="60"/>
      </w:pPr>
      <w:r>
        <w:t xml:space="preserve">No dense multi-product mega-menus (the SubjectCoach pitfall) — NAPLAN is the only focus</w:t>
      </w:r>
    </w:p>
    <w:p>
      <w:pPr>
        <w:pStyle w:val="Heading2"/>
        <w:spacing w:after="120" w:before="240"/>
      </w:pPr>
      <w:r>
        <w:t xml:space="preserve">Soft Illustrative pattern rules</w:t>
      </w:r>
    </w:p>
    <w:p>
      <w:pPr>
        <w:pStyle w:val="ListParagraph"/>
        <w:numPr>
          <w:ilvl w:val="0"/>
          <w:numId w:val="2"/>
        </w:numPr>
        <w:spacing w:after="60"/>
      </w:pPr>
      <w:r>
        <w:t xml:space="preserve">Buttons and cards use 16-20px rounded corners (pill-shaped primary buttons)</w:t>
      </w:r>
    </w:p>
    <w:p>
      <w:pPr>
        <w:pStyle w:val="ListParagraph"/>
        <w:numPr>
          <w:ilvl w:val="0"/>
          <w:numId w:val="2"/>
        </w:numPr>
        <w:spacing w:after="60"/>
      </w:pPr>
      <w:r>
        <w:t xml:space="preserve">Every icon sits inside a 36-44px pastel circle badge, colour-matched to its category (amber = understand, coral = practice, green = level check)</w:t>
      </w:r>
    </w:p>
    <w:p>
      <w:pPr>
        <w:pStyle w:val="ListParagraph"/>
        <w:numPr>
          <w:ilvl w:val="0"/>
          <w:numId w:val="2"/>
        </w:numPr>
        <w:spacing w:after="60"/>
      </w:pPr>
      <w:r>
        <w:t xml:space="preserve">Page background is cream (#FFFCF6), section backgrounds alternate white / warm cream (#FFF9F0) for gentle rhythm — never stark white-on-white</w:t>
      </w:r>
    </w:p>
    <w:p>
      <w:pPr>
        <w:pStyle w:val="ListParagraph"/>
        <w:numPr>
          <w:ilvl w:val="0"/>
          <w:numId w:val="2"/>
        </w:numPr>
        <w:spacing w:after="60"/>
      </w:pPr>
      <w:r>
        <w:t xml:space="preserve">Selected/active state = 2px solid orange border + light amber fill, not a colour swap, so it stays legible for colour-blind users</w:t>
      </w:r>
    </w:p>
    <w:p>
      <w:pPr>
        <w:pStyle w:val="ListParagraph"/>
        <w:numPr>
          <w:ilvl w:val="0"/>
          <w:numId w:val="2"/>
        </w:numPr>
        <w:spacing w:after="60"/>
      </w:pPr>
      <w:r>
        <w:t xml:space="preserve">Footer and utility text stay small and muted so the warm styling doesn't feel childish for Year 9 users</w:t>
      </w:r>
    </w:p>
    <w:p>
      <w:pPr>
        <w:pStyle w:val="Heading1"/>
        <w:spacing w:after="120" w:before="240"/>
      </w:pPr>
      <w:r>
        <w:t xml:space="preserve">7. Homepage Wireframe (Section Order)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100"/>
      </w:tblGrid>
      <w:tr>
        <w:tc>
          <w:tcPr>
            <w:tcW w:type="dxa" w:w="700"/>
            <w:shd w:fill="F7A026" w:val="clear"/>
          </w:tcPr>
          <w:p>
            <w:r>
              <w:rPr>
                <w:b/>
                <w:bCs/>
                <w:color w:val="FFFFFF"/>
                <w:sz w:val="20"/>
                <w:szCs w:val="20"/>
              </w:rPr>
              <w:t xml:space="preserve">#</w:t>
            </w:r>
          </w:p>
        </w:tc>
        <w:tc>
          <w:tcPr>
            <w:tcW w:type="dxa" w:w="2600"/>
            <w:shd w:fill="F7A026" w:val="clear"/>
          </w:tcPr>
          <w:p>
            <w:r>
              <w:rPr>
                <w:b/>
                <w:bCs/>
                <w:color w:val="FFFFFF"/>
                <w:sz w:val="20"/>
                <w:szCs w:val="20"/>
              </w:rPr>
              <w:t xml:space="preserve">Section</w:t>
            </w:r>
          </w:p>
        </w:tc>
        <w:tc>
          <w:tcPr>
            <w:tcW w:type="dxa" w:w="6100"/>
            <w:shd w:fill="F7A026" w:val="clear"/>
          </w:tcPr>
          <w:p>
            <w:r>
              <w:rPr>
                <w:b/>
                <w:bCs/>
                <w:color w:val="FFFFFF"/>
                <w:sz w:val="20"/>
                <w:szCs w:val="20"/>
              </w:rPr>
              <w:t xml:space="preserve">Content</w:t>
            </w:r>
          </w:p>
        </w:tc>
      </w:tr>
      <w:tr>
        <w:tc>
          <w:tcPr>
            <w:tcW w:type="dxa" w:w="700"/>
          </w:tcPr>
          <w:p>
            <w:r>
              <w:rPr>
                <w:b w:val="false"/>
                <w:bCs w:val="false"/>
                <w:color w:val="000000"/>
                <w:sz w:val="20"/>
                <w:szCs w:val="20"/>
              </w:rPr>
              <w:t xml:space="preserve">1</w:t>
            </w:r>
          </w:p>
        </w:tc>
        <w:tc>
          <w:tcPr>
            <w:tcW w:type="dxa" w:w="2600"/>
          </w:tcPr>
          <w:p>
            <w:r>
              <w:rPr>
                <w:b w:val="false"/>
                <w:bCs w:val="false"/>
                <w:color w:val="000000"/>
                <w:sz w:val="20"/>
                <w:szCs w:val="20"/>
              </w:rPr>
              <w:t xml:space="preserve">Header</w:t>
            </w:r>
          </w:p>
        </w:tc>
        <w:tc>
          <w:tcPr>
            <w:tcW w:type="dxa" w:w="6100"/>
          </w:tcPr>
          <w:p>
            <w:r>
              <w:rPr>
                <w:b w:val="false"/>
                <w:bCs w:val="false"/>
                <w:color w:val="000000"/>
                <w:sz w:val="20"/>
                <w:szCs w:val="20"/>
              </w:rPr>
              <w:t xml:space="preserve">Logo, nav (How it works / Practice tests / Year levels), Sign up button</w:t>
            </w:r>
          </w:p>
        </w:tc>
      </w:tr>
      <w:tr>
        <w:tc>
          <w:tcPr>
            <w:tcW w:type="dxa" w:w="700"/>
          </w:tcPr>
          <w:p>
            <w:r>
              <w:rPr>
                <w:b w:val="false"/>
                <w:bCs w:val="false"/>
                <w:color w:val="000000"/>
                <w:sz w:val="20"/>
                <w:szCs w:val="20"/>
              </w:rPr>
              <w:t xml:space="preserve">2</w:t>
            </w:r>
          </w:p>
        </w:tc>
        <w:tc>
          <w:tcPr>
            <w:tcW w:type="dxa" w:w="2600"/>
          </w:tcPr>
          <w:p>
            <w:r>
              <w:rPr>
                <w:b w:val="false"/>
                <w:bCs w:val="false"/>
                <w:color w:val="000000"/>
                <w:sz w:val="20"/>
                <w:szCs w:val="20"/>
              </w:rPr>
              <w:t xml:space="preserve">Hero</w:t>
            </w:r>
          </w:p>
        </w:tc>
        <w:tc>
          <w:tcPr>
            <w:tcW w:type="dxa" w:w="6100"/>
          </w:tcPr>
          <w:p>
            <w:r>
              <w:rPr>
                <w:b w:val="false"/>
                <w:bCs w:val="false"/>
                <w:color w:val="000000"/>
                <w:sz w:val="20"/>
                <w:szCs w:val="20"/>
              </w:rPr>
              <w:t xml:space="preserve">Headline, one-line value statement, 2 CTAs: "Take the level check" + "See test agenda"</w:t>
            </w:r>
          </w:p>
        </w:tc>
      </w:tr>
      <w:tr>
        <w:tc>
          <w:tcPr>
            <w:tcW w:type="dxa" w:w="700"/>
          </w:tcPr>
          <w:p>
            <w:r>
              <w:rPr>
                <w:b w:val="false"/>
                <w:bCs w:val="false"/>
                <w:color w:val="000000"/>
                <w:sz w:val="20"/>
                <w:szCs w:val="20"/>
              </w:rPr>
              <w:t xml:space="preserve">3</w:t>
            </w:r>
          </w:p>
        </w:tc>
        <w:tc>
          <w:tcPr>
            <w:tcW w:type="dxa" w:w="2600"/>
          </w:tcPr>
          <w:p>
            <w:r>
              <w:rPr>
                <w:b w:val="false"/>
                <w:bCs w:val="false"/>
                <w:color w:val="000000"/>
                <w:sz w:val="20"/>
                <w:szCs w:val="20"/>
              </w:rPr>
              <w:t xml:space="preserve">3-pillar strip</w:t>
            </w:r>
          </w:p>
        </w:tc>
        <w:tc>
          <w:tcPr>
            <w:tcW w:type="dxa" w:w="6100"/>
          </w:tcPr>
          <w:p>
            <w:r>
              <w:rPr>
                <w:b w:val="false"/>
                <w:bCs w:val="false"/>
                <w:color w:val="000000"/>
                <w:sz w:val="20"/>
                <w:szCs w:val="20"/>
              </w:rPr>
              <w:t xml:space="preserve">Understand the test / Practice questions / Check current level, each with icon + 1 line</w:t>
            </w:r>
          </w:p>
        </w:tc>
      </w:tr>
      <w:tr>
        <w:tc>
          <w:tcPr>
            <w:tcW w:type="dxa" w:w="700"/>
          </w:tcPr>
          <w:p>
            <w:r>
              <w:rPr>
                <w:b w:val="false"/>
                <w:bCs w:val="false"/>
                <w:color w:val="000000"/>
                <w:sz w:val="20"/>
                <w:szCs w:val="20"/>
              </w:rPr>
              <w:t xml:space="preserve">4</w:t>
            </w:r>
          </w:p>
        </w:tc>
        <w:tc>
          <w:tcPr>
            <w:tcW w:type="dxa" w:w="2600"/>
          </w:tcPr>
          <w:p>
            <w:r>
              <w:rPr>
                <w:b w:val="false"/>
                <w:bCs w:val="false"/>
                <w:color w:val="000000"/>
                <w:sz w:val="20"/>
                <w:szCs w:val="20"/>
              </w:rPr>
              <w:t xml:space="preserve">Year picker</w:t>
            </w:r>
          </w:p>
        </w:tc>
        <w:tc>
          <w:tcPr>
            <w:tcW w:type="dxa" w:w="6100"/>
          </w:tcPr>
          <w:p>
            <w:r>
              <w:rPr>
                <w:b w:val="false"/>
                <w:bCs w:val="false"/>
                <w:color w:val="000000"/>
                <w:sz w:val="20"/>
                <w:szCs w:val="20"/>
              </w:rPr>
              <w:t xml:space="preserve">4 cards: Year 3, 5, 7, 9 — click to filter rest of site</w:t>
            </w:r>
          </w:p>
        </w:tc>
      </w:tr>
      <w:tr>
        <w:tc>
          <w:tcPr>
            <w:tcW w:type="dxa" w:w="700"/>
          </w:tcPr>
          <w:p>
            <w:r>
              <w:rPr>
                <w:b w:val="false"/>
                <w:bCs w:val="false"/>
                <w:color w:val="000000"/>
                <w:sz w:val="20"/>
                <w:szCs w:val="20"/>
              </w:rPr>
              <w:t xml:space="preserve">5</w:t>
            </w:r>
          </w:p>
        </w:tc>
        <w:tc>
          <w:tcPr>
            <w:tcW w:type="dxa" w:w="2600"/>
          </w:tcPr>
          <w:p>
            <w:r>
              <w:rPr>
                <w:b w:val="false"/>
                <w:bCs w:val="false"/>
                <w:color w:val="000000"/>
                <w:sz w:val="20"/>
                <w:szCs w:val="20"/>
              </w:rPr>
              <w:t xml:space="preserve">How it works</w:t>
            </w:r>
          </w:p>
        </w:tc>
        <w:tc>
          <w:tcPr>
            <w:tcW w:type="dxa" w:w="6100"/>
          </w:tcPr>
          <w:p>
            <w:r>
              <w:rPr>
                <w:b w:val="false"/>
                <w:bCs w:val="false"/>
                <w:color w:val="000000"/>
                <w:sz w:val="20"/>
                <w:szCs w:val="20"/>
              </w:rPr>
              <w:t xml:space="preserve">3-step visual: Pick year → Practice or check level → Track progress</w:t>
            </w:r>
          </w:p>
        </w:tc>
      </w:tr>
      <w:tr>
        <w:tc>
          <w:tcPr>
            <w:tcW w:type="dxa" w:w="700"/>
          </w:tcPr>
          <w:p>
            <w:r>
              <w:rPr>
                <w:b w:val="false"/>
                <w:bCs w:val="false"/>
                <w:color w:val="000000"/>
                <w:sz w:val="20"/>
                <w:szCs w:val="20"/>
              </w:rPr>
              <w:t xml:space="preserve">6</w:t>
            </w:r>
          </w:p>
        </w:tc>
        <w:tc>
          <w:tcPr>
            <w:tcW w:type="dxa" w:w="2600"/>
          </w:tcPr>
          <w:p>
            <w:r>
              <w:rPr>
                <w:b w:val="false"/>
                <w:bCs w:val="false"/>
                <w:color w:val="000000"/>
                <w:sz w:val="20"/>
                <w:szCs w:val="20"/>
              </w:rPr>
              <w:t xml:space="preserve">Trust strip</w:t>
            </w:r>
          </w:p>
        </w:tc>
        <w:tc>
          <w:tcPr>
            <w:tcW w:type="dxa" w:w="6100"/>
          </w:tcPr>
          <w:p>
            <w:r>
              <w:rPr>
                <w:b w:val="false"/>
                <w:bCs w:val="false"/>
                <w:color w:val="000000"/>
                <w:sz w:val="20"/>
                <w:szCs w:val="20"/>
              </w:rPr>
              <w:t xml:space="preserve">Curriculum-aligned badge, sample question preview, disclaimer (not affiliated with ACARA)</w:t>
            </w:r>
          </w:p>
        </w:tc>
      </w:tr>
      <w:tr>
        <w:tc>
          <w:tcPr>
            <w:tcW w:type="dxa" w:w="700"/>
          </w:tcPr>
          <w:p>
            <w:r>
              <w:rPr>
                <w:b w:val="false"/>
                <w:bCs w:val="false"/>
                <w:color w:val="000000"/>
                <w:sz w:val="20"/>
                <w:szCs w:val="20"/>
              </w:rPr>
              <w:t xml:space="preserve">7</w:t>
            </w:r>
          </w:p>
        </w:tc>
        <w:tc>
          <w:tcPr>
            <w:tcW w:type="dxa" w:w="2600"/>
          </w:tcPr>
          <w:p>
            <w:r>
              <w:rPr>
                <w:b w:val="false"/>
                <w:bCs w:val="false"/>
                <w:color w:val="000000"/>
                <w:sz w:val="20"/>
                <w:szCs w:val="20"/>
              </w:rPr>
              <w:t xml:space="preserve">Footer</w:t>
            </w:r>
          </w:p>
        </w:tc>
        <w:tc>
          <w:tcPr>
            <w:tcW w:type="dxa" w:w="6100"/>
          </w:tcPr>
          <w:p>
            <w:r>
              <w:rPr>
                <w:b w:val="false"/>
                <w:bCs w:val="false"/>
                <w:color w:val="000000"/>
                <w:sz w:val="20"/>
                <w:szCs w:val="20"/>
              </w:rPr>
              <w:t xml:space="preserve">About, FAQ, Contact, Privacy, Terms</w:t>
            </w:r>
          </w:p>
        </w:tc>
      </w:tr>
    </w:tbl>
    <w:p>
      <w:pPr>
        <w:pStyle w:val="Heading1"/>
        <w:spacing w:after="120" w:before="240"/>
      </w:pPr>
      <w:r>
        <w:t xml:space="preserve">8. Differentiators vs. Competitors</w:t>
      </w:r>
    </w:p>
    <w:p>
      <w:pPr>
        <w:pStyle w:val="ListParagraph"/>
        <w:numPr>
          <w:ilvl w:val="0"/>
          <w:numId w:val="2"/>
        </w:numPr>
        <w:spacing w:after="60"/>
      </w:pPr>
      <w:r>
        <w:t xml:space="preserve">Level check is the first CTA, not buried behind sign-up (unlike all three competitors)</w:t>
      </w:r>
    </w:p>
    <w:p>
      <w:pPr>
        <w:pStyle w:val="ListParagraph"/>
        <w:numPr>
          <w:ilvl w:val="0"/>
          <w:numId w:val="2"/>
        </w:numPr>
        <w:spacing w:after="60"/>
      </w:pPr>
      <w:r>
        <w:t xml:space="preserve">Test-agenda explainer page written in plain language for first-time parents</w:t>
      </w:r>
    </w:p>
    <w:p>
      <w:pPr>
        <w:pStyle w:val="ListParagraph"/>
        <w:numPr>
          <w:ilvl w:val="0"/>
          <w:numId w:val="2"/>
        </w:numPr>
        <w:spacing w:after="60"/>
      </w:pPr>
      <w:r>
        <w:t xml:space="preserve">Single-purpose navigation — no VCE/IB/ICAS clutter like SubjectCoach</w:t>
      </w:r>
    </w:p>
    <w:p>
      <w:pPr>
        <w:pStyle w:val="ListParagraph"/>
        <w:numPr>
          <w:ilvl w:val="0"/>
          <w:numId w:val="2"/>
        </w:numPr>
        <w:spacing w:after="60"/>
      </w:pPr>
      <w:r>
        <w:t xml:space="preserve">Progress dashboard combines band estimate + strand breakdown + recommended next practice in one view</w:t>
      </w:r>
    </w:p>
    <w:p>
      <w:pPr>
        <w:pStyle w:val="Heading1"/>
        <w:spacing w:after="120" w:before="240"/>
      </w:pPr>
      <w:r>
        <w:t xml:space="preserve">9. Content &amp; Data Storage</w:t>
      </w:r>
    </w:p>
    <w:p>
      <w:pPr>
        <w:spacing w:after="120"/>
      </w:pPr>
      <w:r>
        <w:rPr>
          <w:b/>
          <w:bCs/>
        </w:rPr>
        <w:t xml:space="preserve">Where questions, quizzes, and results live: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400"/>
      </w:tblGrid>
      <w:tr>
        <w:tc>
          <w:tcPr>
            <w:tcW w:type="dxa" w:w="2400"/>
            <w:shd w:fill="F7A026" w:val="clear"/>
          </w:tcPr>
          <w:p>
            <w:r>
              <w:rPr>
                <w:b/>
                <w:bCs/>
                <w:color w:val="FFFFFF"/>
                <w:sz w:val="20"/>
                <w:szCs w:val="20"/>
              </w:rPr>
              <w:t xml:space="preserve">Data</w:t>
            </w:r>
          </w:p>
        </w:tc>
        <w:tc>
          <w:tcPr>
            <w:tcW w:type="dxa" w:w="3600"/>
            <w:shd w:fill="F7A026" w:val="clear"/>
          </w:tcPr>
          <w:p>
            <w:r>
              <w:rPr>
                <w:b/>
                <w:bCs/>
                <w:color w:val="FFFFFF"/>
                <w:sz w:val="20"/>
                <w:szCs w:val="20"/>
              </w:rPr>
              <w:t xml:space="preserve">Storage</w:t>
            </w:r>
          </w:p>
        </w:tc>
        <w:tc>
          <w:tcPr>
            <w:tcW w:type="dxa" w:w="3400"/>
            <w:shd w:fill="F7A026" w:val="clear"/>
          </w:tcPr>
          <w:p>
            <w:r>
              <w:rPr>
                <w:b/>
                <w:bCs/>
                <w:color w:val="FFFFFF"/>
                <w:sz w:val="20"/>
                <w:szCs w:val="20"/>
              </w:rPr>
              <w:t xml:space="preserve">Notes</w:t>
            </w:r>
          </w:p>
        </w:tc>
      </w:tr>
      <w:tr>
        <w:tc>
          <w:tcPr>
            <w:tcW w:type="dxa" w:w="2400"/>
          </w:tcPr>
          <w:p>
            <w:r>
              <w:rPr>
                <w:b w:val="false"/>
                <w:bCs w:val="false"/>
                <w:color w:val="000000"/>
                <w:sz w:val="20"/>
                <w:szCs w:val="20"/>
              </w:rPr>
              <w:t xml:space="preserve">Question bank (practice + diagnostic items)</w:t>
            </w:r>
          </w:p>
        </w:tc>
        <w:tc>
          <w:tcPr>
            <w:tcW w:type="dxa" w:w="3600"/>
          </w:tcPr>
          <w:p>
            <w:r>
              <w:rPr>
                <w:b w:val="false"/>
                <w:bCs w:val="false"/>
                <w:color w:val="000000"/>
                <w:sz w:val="20"/>
                <w:szCs w:val="20"/>
              </w:rPr>
              <w:t xml:space="preserve">Relational database (e.g. PostgreSQL) — a "questions" table tagged by year level, domain, strand, and difficulty</w:t>
            </w:r>
          </w:p>
        </w:tc>
        <w:tc>
          <w:tcPr>
            <w:tcW w:type="dxa" w:w="3400"/>
          </w:tcPr>
          <w:p>
            <w:r>
              <w:rPr>
                <w:b w:val="false"/>
                <w:bCs w:val="false"/>
                <w:color w:val="000000"/>
                <w:sz w:val="20"/>
                <w:szCs w:val="20"/>
              </w:rPr>
              <w:t xml:space="preserve">Authored and edited through an internal admin/CMS tool, not hardcoded in the app</w:t>
            </w:r>
          </w:p>
        </w:tc>
      </w:tr>
      <w:tr>
        <w:tc>
          <w:tcPr>
            <w:tcW w:type="dxa" w:w="2400"/>
          </w:tcPr>
          <w:p>
            <w:r>
              <w:rPr>
                <w:b w:val="false"/>
                <w:bCs w:val="false"/>
                <w:color w:val="000000"/>
                <w:sz w:val="20"/>
                <w:szCs w:val="20"/>
              </w:rPr>
              <w:t xml:space="preserve">Quiz/test definitions</w:t>
            </w:r>
          </w:p>
        </w:tc>
        <w:tc>
          <w:tcPr>
            <w:tcW w:type="dxa" w:w="3600"/>
          </w:tcPr>
          <w:p>
            <w:r>
              <w:rPr>
                <w:b w:val="false"/>
                <w:bCs w:val="false"/>
                <w:color w:val="000000"/>
                <w:sz w:val="20"/>
                <w:szCs w:val="20"/>
              </w:rPr>
              <w:t xml:space="preserve">Database — a "tests" table referencing ordered sets of question IDs, plus metadata (year, domain, time limit)</w:t>
            </w:r>
          </w:p>
        </w:tc>
        <w:tc>
          <w:tcPr>
            <w:tcW w:type="dxa" w:w="3400"/>
          </w:tcPr>
          <w:p>
            <w:r>
              <w:rPr>
                <w:b w:val="false"/>
                <w:bCs w:val="false"/>
                <w:color w:val="000000"/>
                <w:sz w:val="20"/>
                <w:szCs w:val="20"/>
              </w:rPr>
              <w:t xml:space="preserve">Diagnostic tests additionally store adaptive branching rules (next-question logic by correctness)</w:t>
            </w:r>
          </w:p>
        </w:tc>
      </w:tr>
      <w:tr>
        <w:tc>
          <w:tcPr>
            <w:tcW w:type="dxa" w:w="2400"/>
          </w:tcPr>
          <w:p>
            <w:r>
              <w:rPr>
                <w:b w:val="false"/>
                <w:bCs w:val="false"/>
                <w:color w:val="000000"/>
                <w:sz w:val="20"/>
                <w:szCs w:val="20"/>
              </w:rPr>
              <w:t xml:space="preserve">Images, audio, diagrams used in questions</w:t>
            </w:r>
          </w:p>
        </w:tc>
        <w:tc>
          <w:tcPr>
            <w:tcW w:type="dxa" w:w="3600"/>
          </w:tcPr>
          <w:p>
            <w:r>
              <w:rPr>
                <w:b w:val="false"/>
                <w:bCs w:val="false"/>
                <w:color w:val="000000"/>
                <w:sz w:val="20"/>
                <w:szCs w:val="20"/>
              </w:rPr>
              <w:t xml:space="preserve">Object storage (e.g. S3-compatible bucket) with the database storing only the file URL</w:t>
            </w:r>
          </w:p>
        </w:tc>
        <w:tc>
          <w:tcPr>
            <w:tcW w:type="dxa" w:w="3400"/>
          </w:tcPr>
          <w:p>
            <w:r>
              <w:rPr>
                <w:b w:val="false"/>
                <w:bCs w:val="false"/>
                <w:color w:val="000000"/>
                <w:sz w:val="20"/>
                <w:szCs w:val="20"/>
              </w:rPr>
              <w:t xml:space="preserve">Keeps the database lean; supports CDN delivery for fast loading</w:t>
            </w:r>
          </w:p>
        </w:tc>
      </w:tr>
      <w:tr>
        <w:tc>
          <w:tcPr>
            <w:tcW w:type="dxa" w:w="2400"/>
          </w:tcPr>
          <w:p>
            <w:r>
              <w:rPr>
                <w:b w:val="false"/>
                <w:bCs w:val="false"/>
                <w:color w:val="000000"/>
                <w:sz w:val="20"/>
                <w:szCs w:val="20"/>
              </w:rPr>
              <w:t xml:space="preserve">Student attempts &amp; answers</w:t>
            </w:r>
          </w:p>
        </w:tc>
        <w:tc>
          <w:tcPr>
            <w:tcW w:type="dxa" w:w="3600"/>
          </w:tcPr>
          <w:p>
            <w:r>
              <w:rPr>
                <w:b w:val="false"/>
                <w:bCs w:val="false"/>
                <w:color w:val="000000"/>
                <w:sz w:val="20"/>
                <w:szCs w:val="20"/>
              </w:rPr>
              <w:t xml:space="preserve">Database — an "attempts" table linked to student profile, test ID, timestamps, and per-question responses</w:t>
            </w:r>
          </w:p>
        </w:tc>
        <w:tc>
          <w:tcPr>
            <w:tcW w:type="dxa" w:w="3400"/>
          </w:tcPr>
          <w:p>
            <w:r>
              <w:rPr>
                <w:b w:val="false"/>
                <w:bCs w:val="false"/>
                <w:color w:val="000000"/>
                <w:sz w:val="20"/>
                <w:szCs w:val="20"/>
              </w:rPr>
              <w:t xml:space="preserve">This is the record used to calculate band estimates and strand breakdowns</w:t>
            </w:r>
          </w:p>
        </w:tc>
      </w:tr>
      <w:tr>
        <w:tc>
          <w:tcPr>
            <w:tcW w:type="dxa" w:w="2400"/>
          </w:tcPr>
          <w:p>
            <w:r>
              <w:rPr>
                <w:b w:val="false"/>
                <w:bCs w:val="false"/>
                <w:color w:val="000000"/>
                <w:sz w:val="20"/>
                <w:szCs w:val="20"/>
              </w:rPr>
              <w:t xml:space="preserve">Progress &amp; band history</w:t>
            </w:r>
          </w:p>
        </w:tc>
        <w:tc>
          <w:tcPr>
            <w:tcW w:type="dxa" w:w="3600"/>
          </w:tcPr>
          <w:p>
            <w:r>
              <w:rPr>
                <w:b w:val="false"/>
                <w:bCs w:val="false"/>
                <w:color w:val="000000"/>
                <w:sz w:val="20"/>
                <w:szCs w:val="20"/>
              </w:rPr>
              <w:t xml:space="preserve">Derived/aggregated table, recalculated from attempts</w:t>
            </w:r>
          </w:p>
        </w:tc>
        <w:tc>
          <w:tcPr>
            <w:tcW w:type="dxa" w:w="3400"/>
          </w:tcPr>
          <w:p>
            <w:r>
              <w:rPr>
                <w:b w:val="false"/>
                <w:bCs w:val="false"/>
                <w:color w:val="000000"/>
                <w:sz w:val="20"/>
                <w:szCs w:val="20"/>
              </w:rPr>
              <w:t xml:space="preserve">Powers the My Progress dashboard and trend charts</w:t>
            </w:r>
          </w:p>
        </w:tc>
      </w:tr>
      <w:tr>
        <w:tc>
          <w:tcPr>
            <w:tcW w:type="dxa" w:w="2400"/>
          </w:tcPr>
          <w:p>
            <w:r>
              <w:rPr>
                <w:b w:val="false"/>
                <w:bCs w:val="false"/>
                <w:color w:val="000000"/>
                <w:sz w:val="20"/>
                <w:szCs w:val="20"/>
              </w:rPr>
              <w:t xml:space="preserve">Draft/unpublished content</w:t>
            </w:r>
          </w:p>
        </w:tc>
        <w:tc>
          <w:tcPr>
            <w:tcW w:type="dxa" w:w="3600"/>
          </w:tcPr>
          <w:p>
            <w:r>
              <w:rPr>
                <w:b w:val="false"/>
                <w:bCs w:val="false"/>
                <w:color w:val="000000"/>
                <w:sz w:val="20"/>
                <w:szCs w:val="20"/>
              </w:rPr>
              <w:t xml:space="preserve">Same database, flagged with a "draft" status</w:t>
            </w:r>
          </w:p>
        </w:tc>
        <w:tc>
          <w:tcPr>
            <w:tcW w:type="dxa" w:w="3400"/>
          </w:tcPr>
          <w:p>
            <w:r>
              <w:rPr>
                <w:b w:val="false"/>
                <w:bCs w:val="false"/>
                <w:color w:val="000000"/>
                <w:sz w:val="20"/>
                <w:szCs w:val="20"/>
              </w:rPr>
              <w:t xml:space="preserve">Lets editors prepare new questions ahead of each NAPLAN cycle without exposing them early</w:t>
            </w:r>
          </w:p>
        </w:tc>
      </w:tr>
    </w:tbl>
    <w:p>
      <w:pPr>
        <w:spacing w:after="120"/>
      </w:pPr>
      <w:r>
        <w:t xml:space="preserve"/>
      </w:r>
    </w:p>
    <w:p>
      <w:pPr>
        <w:spacing w:after="120"/>
      </w:pPr>
      <w:r>
        <w:t xml:space="preserve">This keeps content (questions, tests) and behavioural data (attempts, progress) in clearly separated tables, so the question bank can be updated independently of live student results, and student data stays isolated for privacy and easier backup/export.</w:t>
      </w:r>
    </w:p>
    <w:p>
      <w:pPr>
        <w:pStyle w:val="Heading1"/>
        <w:spacing w:after="120" w:before="240"/>
      </w:pPr>
      <w:r>
        <w:t xml:space="preserve">10. Next Steps</w:t>
      </w:r>
    </w:p>
    <w:p>
      <w:pPr>
        <w:pStyle w:val="ListParagraph"/>
        <w:numPr>
          <w:ilvl w:val="0"/>
          <w:numId w:val="2"/>
        </w:numPr>
        <w:spacing w:after="60"/>
      </w:pPr>
      <w:r>
        <w:t xml:space="preserve">Validate wireframe with 2-3 parent users</w:t>
      </w:r>
    </w:p>
    <w:p>
      <w:pPr>
        <w:pStyle w:val="ListParagraph"/>
        <w:numPr>
          <w:ilvl w:val="0"/>
          <w:numId w:val="2"/>
        </w:numPr>
        <w:spacing w:after="60"/>
      </w:pPr>
      <w:r>
        <w:t xml:space="preserve">Build content for "Understand the Test" page per year level</w:t>
      </w:r>
    </w:p>
    <w:p>
      <w:pPr>
        <w:pStyle w:val="ListParagraph"/>
        <w:numPr>
          <w:ilvl w:val="0"/>
          <w:numId w:val="2"/>
        </w:numPr>
        <w:spacing w:after="60"/>
      </w:pPr>
      <w:r>
        <w:t xml:space="preserve">Define diagnostic quiz item bank and scoring bands</w:t>
      </w:r>
    </w:p>
    <w:p>
      <w:pPr>
        <w:pStyle w:val="ListParagraph"/>
        <w:numPr>
          <w:ilvl w:val="0"/>
          <w:numId w:val="2"/>
        </w:numPr>
        <w:spacing w:after="60"/>
      </w:pPr>
      <w:r>
        <w:t xml:space="preserve">Build homepage + year-level pages in high-fidelity prototype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2026-07-26T12:33:26.909Z</dcterms:created>
  <dcterms:modified xsi:type="dcterms:W3CDTF">2026-07-26T12:33:26.909Z</dcterms:modified>
</cp:coreProperties>
</file>

<file path=docProps/custom.xml><?xml version="1.0" encoding="utf-8"?>
<Properties xmlns="http://schemas.openxmlformats.org/officeDocument/2006/custom-properties" xmlns:vt="http://schemas.openxmlformats.org/officeDocument/2006/docPropsVTypes"/>
</file>