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00"/>
        <w:jc w:val="center"/>
      </w:pPr>
      <w:r>
        <w:rPr>
          <w:rFonts w:ascii="Arial" w:cs="Arial" w:eastAsia="Arial" w:hAnsi="Arial"/>
          <w:b/>
          <w:bCs/>
          <w:color w:val="3F7E54"/>
          <w:sz w:val="24"/>
          <w:szCs w:val="24"/>
        </w:rPr>
        <w:t>[company_logo_coverpage]</w:t>
      </w:r>
    </w:p>
    <w:p>
      <w:pPr>
        <w:pBdr>
          <w:top w:val="single" w:color="3A624E" w:sz="36"/>
        </w:pBdr>
        <w:spacing w:before="0" w:after="0"/>
      </w:pPr>
      <w:r>
        <w:t xml:space="preserve"/>
      </w:r>
    </w:p>
    <w:p>
      <w:pPr>
        <w:spacing w:before="400" w:after="400"/>
      </w:pPr>
      <w:r>
        <w:t xml:space="preserve"/>
      </w:r>
    </w:p>
    <w:p>
      <w:pPr>
        <w:spacing w:before="0" w:after="120"/>
        <w:jc w:val="center"/>
      </w:pPr>
      <w:r>
        <w:rPr>
          <w:rFonts w:ascii="Arial" w:cs="Arial" w:eastAsia="Arial" w:hAnsi="Arial"/>
          <w:b/>
          <w:bCs/>
          <w:color w:val="3F7E54"/>
          <w:sz w:val="28"/>
          <w:szCs w:val="28"/>
        </w:rPr>
        <w:t xml:space="preserve">HUMAN RESOURCES</w:t>
      </w:r>
    </w:p>
    <w:p>
      <w:pPr>
        <w:spacing w:before="0" w:after="60"/>
        <w:jc w:val="center"/>
      </w:pPr>
      <w:r>
        <w:rPr>
          <w:rFonts w:ascii="Arial" w:cs="Arial" w:eastAsia="Arial" w:hAnsi="Arial"/>
          <w:b/>
          <w:bCs/>
          <w:color w:val="3A624E"/>
          <w:sz w:val="52"/>
          <w:szCs w:val="52"/>
        </w:rPr>
        <w:t xml:space="preserve">DISCIPLINARY</w:t>
      </w:r>
    </w:p>
    <w:p>
      <w:pPr>
        <w:spacing w:before="0" w:after="200"/>
        <w:jc w:val="center"/>
      </w:pPr>
      <w:r>
        <w:rPr>
          <w:rFonts w:ascii="Arial" w:cs="Arial" w:eastAsia="Arial" w:hAnsi="Arial"/>
          <w:b/>
          <w:bCs/>
          <w:color w:val="3A624E"/>
          <w:sz w:val="52"/>
          <w:szCs w:val="52"/>
        </w:rPr>
        <w:t xml:space="preserve">PROCEDURE POLICY</w:t>
      </w:r>
    </w:p>
    <w:p>
      <w:pPr>
        <w:pBdr>
          <w:bottom w:val="single" w:color="3F7E54" w:sz="6" w:space="8"/>
        </w:pBdr>
        <w:spacing w:before="0" w:after="600"/>
      </w:pPr>
      <w:r>
        <w:t xml:space="preserve"/>
      </w:r>
    </w:p>
    <w:p>
      <w:pP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Classification</w:t>
            </w:r>
          </w:p>
        </w:tc>
        <w:tc>
          <w:tcPr>
            <w:tcW w:type="dxa" w:w="61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Confidential - Internal Use Only</w:t>
            </w:r>
          </w:p>
        </w:tc>
      </w:tr>
      <w:tr>
        <w:tc>
          <w:tcPr>
            <w:tcW w:type="dxa" w:w="320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Regulatory Alignment</w:t>
            </w:r>
          </w:p>
        </w:tc>
        <w:tc>
          <w:tcPr>
            <w:tcW w:type="dxa" w:w="61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SAMA CSF | ISO/IEC 27001:2022 | KSA Labour Law | CBUAE | KSA PDPL</w:t>
            </w:r>
          </w:p>
        </w:tc>
      </w:tr>
      <w:tr>
        <w:tc>
          <w:tcPr>
            <w:tcW w:type="dxa" w:w="320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Applicable Jurisdictions</w:t>
            </w:r>
          </w:p>
        </w:tc>
        <w:tc>
          <w:tcPr>
            <w:tcW w:type="dxa" w:w="61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Kingdom of Saudi Arabia (KSA) | United Arab Emirates (UAE)</w:t>
            </w:r>
          </w:p>
        </w:tc>
      </w:tr>
      <w:tr>
        <w:tc>
          <w:tcPr>
            <w:tcW w:type="dxa" w:w="320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Document Owner</w:t>
            </w:r>
          </w:p>
        </w:tc>
        <w:tc>
          <w:tcPr>
            <w:tcW w:type="dxa" w:w="61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Head of People and Talent</w:t>
            </w:r>
          </w:p>
        </w:tc>
      </w:tr>
      <w:tr>
        <w:tc>
          <w:tcPr>
            <w:tcW w:type="dxa" w:w="320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Approving Authority</w:t>
            </w:r>
          </w:p>
        </w:tc>
        <w:tc>
          <w:tcPr>
            <w:tcW w:type="dxa" w:w="61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General, Legal, and Regulatory Compliance Committee (GLRCC)</w:t>
            </w:r>
          </w:p>
        </w:tc>
      </w:tr>
      <w:tr>
        <w:tc>
          <w:tcPr>
            <w:tcW w:type="dxa" w:w="320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Document Status</w:t>
            </w:r>
          </w:p>
        </w:tc>
        <w:tc>
          <w:tcPr>
            <w:tcW w:type="dxa" w:w="61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Active</w:t>
            </w:r>
          </w:p>
        </w:tc>
      </w:tr>
      <w:tr>
        <w:tc>
          <w:tcPr>
            <w:tcW w:type="dxa" w:w="320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Version</w:t>
            </w:r>
          </w:p>
        </w:tc>
        <w:tc>
          <w:tcPr>
            <w:tcW w:type="dxa" w:w="61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3.0</w:t>
            </w:r>
          </w:p>
        </w:tc>
      </w:tr>
      <w:tr>
        <w:tc>
          <w:tcPr>
            <w:tcW w:type="dxa" w:w="320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Effective Date</w:t>
            </w:r>
          </w:p>
        </w:tc>
        <w:tc>
          <w:tcPr>
            <w:tcW w:type="dxa" w:w="61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[effective_date]</w:t>
            </w:r>
          </w:p>
        </w:tc>
      </w:tr>
      <w:tr>
        <w:tc>
          <w:tcPr>
            <w:tcW w:type="dxa" w:w="320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Next Review Date</w:t>
            </w:r>
          </w:p>
        </w:tc>
        <w:tc>
          <w:tcPr>
            <w:tcW w:type="dxa" w:w="61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[next_review_date]</w:t>
            </w:r>
          </w:p>
        </w:tc>
      </w:tr>
    </w:tbl>
    <w:p>
      <w:pPr>
        <w:spacing w:before="400" w:after="400"/>
      </w:pPr>
      <w:r>
        <w:t xml:space="preserve"/>
      </w:r>
    </w:p>
    <w:p>
      <w:pPr>
        <w:pBdr>
          <w:bottom w:val="single" w:color="3A624E" w:sz="36"/>
        </w:pBdr>
        <w:spacing w:before="200" w:after="0"/>
      </w:pPr>
      <w:r>
        <w:t xml:space="preserve"/>
      </w:r>
    </w:p>
    <w:p>
      <w:r>
        <w:br w:type="page"/>
      </w:r>
    </w:p>
    <w:p>
      <w:pPr>
        <w:pStyle w:val="Heading1"/>
        <w:pBdr>
          <w:bottom w:val="single" w:color="3F7E54" w:sz="6" w:space="4"/>
        </w:pBdr>
        <w:spacing w:before="400" w:after="200"/>
      </w:pPr>
      <w:r>
        <w:rPr>
          <w:rFonts w:ascii="Arial" w:cs="Arial" w:eastAsia="Arial" w:hAnsi="Arial"/>
          <w:b/>
          <w:bCs/>
          <w:color w:val="4F6C52"/>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4"/>
              <w:left w:val="single" w:color="AAAAAA" w:sz="4"/>
              <w:bottom w:val="single" w:color="AAAAAA" w:sz="4"/>
              <w:right w:val="single" w:color="AAAAAA" w:sz="4"/>
            </w:tcBorders>
            <w:shd w:fill="3A624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1"/>
                <w:szCs w:val="21"/>
              </w:rPr>
              <w:t xml:space="preserve">Field</w:t>
            </w:r>
          </w:p>
        </w:tc>
        <w:tc>
          <w:tcPr>
            <w:tcW w:type="dxa" w:w="6160"/>
            <w:tcBorders>
              <w:top w:val="single" w:color="AAAAAA" w:sz="4"/>
              <w:left w:val="single" w:color="AAAAAA" w:sz="4"/>
              <w:bottom w:val="single" w:color="AAAAAA" w:sz="4"/>
              <w:right w:val="single" w:color="AAAAAA" w:sz="4"/>
            </w:tcBorders>
            <w:shd w:fill="3A624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1"/>
                <w:szCs w:val="21"/>
              </w:rPr>
              <w:t xml:space="preserve">Details</w:t>
            </w:r>
          </w:p>
        </w:tc>
      </w:tr>
      <w:tr>
        <w:tc>
          <w:tcPr>
            <w:tcW w:type="dxa" w:w="320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Document Name</w:t>
            </w:r>
          </w:p>
        </w:tc>
        <w:tc>
          <w:tcPr>
            <w:tcW w:type="dxa" w:w="61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Disciplinary Procedure Policy</w:t>
            </w:r>
          </w:p>
        </w:tc>
      </w:tr>
      <w:tr>
        <w:tc>
          <w:tcPr>
            <w:tcW w:type="dxa" w:w="320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Document ID</w:t>
            </w:r>
          </w:p>
        </w:tc>
        <w:tc>
          <w:tcPr>
            <w:tcW w:type="dxa" w:w="61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DOC-HR-005</w:t>
            </w:r>
          </w:p>
        </w:tc>
      </w:tr>
      <w:tr>
        <w:tc>
          <w:tcPr>
            <w:tcW w:type="dxa" w:w="320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Document Owner</w:t>
            </w:r>
          </w:p>
        </w:tc>
        <w:tc>
          <w:tcPr>
            <w:tcW w:type="dxa" w:w="61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Head of People and Talent</w:t>
            </w:r>
          </w:p>
        </w:tc>
      </w:tr>
      <w:tr>
        <w:tc>
          <w:tcPr>
            <w:tcW w:type="dxa" w:w="320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Document Reviewer</w:t>
            </w:r>
          </w:p>
        </w:tc>
        <w:tc>
          <w:tcPr>
            <w:tcW w:type="dxa" w:w="61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Head of People and Talent</w:t>
            </w:r>
          </w:p>
        </w:tc>
      </w:tr>
      <w:tr>
        <w:tc>
          <w:tcPr>
            <w:tcW w:type="dxa" w:w="320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Document Approver</w:t>
            </w:r>
          </w:p>
        </w:tc>
        <w:tc>
          <w:tcPr>
            <w:tcW w:type="dxa" w:w="61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General, Legal, and Regulatory Compliance Committee (GLRCC)</w:t>
            </w:r>
          </w:p>
        </w:tc>
      </w:tr>
      <w:tr>
        <w:tc>
          <w:tcPr>
            <w:tcW w:type="dxa" w:w="320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Document Description</w:t>
            </w:r>
          </w:p>
        </w:tc>
        <w:tc>
          <w:tcPr>
            <w:tcW w:type="dxa" w:w="61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This Policy outlines the formal disciplinary procedure for managing instances of misconduct or inadequate performance by employees and contractors. The procedure ensures fairness, consistency, and compliance with applicable labour law while protecting organisational interests.</w:t>
            </w:r>
          </w:p>
        </w:tc>
      </w:tr>
      <w:tr>
        <w:tc>
          <w:tcPr>
            <w:tcW w:type="dxa" w:w="320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Document Classification</w:t>
            </w:r>
          </w:p>
        </w:tc>
        <w:tc>
          <w:tcPr>
            <w:tcW w:type="dxa" w:w="61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Confidential - Internal Use Only</w:t>
            </w:r>
          </w:p>
        </w:tc>
      </w:tr>
      <w:tr>
        <w:tc>
          <w:tcPr>
            <w:tcW w:type="dxa" w:w="320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Version Number</w:t>
            </w:r>
          </w:p>
        </w:tc>
        <w:tc>
          <w:tcPr>
            <w:tcW w:type="dxa" w:w="61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3.0</w:t>
            </w:r>
          </w:p>
        </w:tc>
      </w:tr>
      <w:tr>
        <w:tc>
          <w:tcPr>
            <w:tcW w:type="dxa" w:w="320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Version Date</w:t>
            </w:r>
          </w:p>
        </w:tc>
        <w:tc>
          <w:tcPr>
            <w:tcW w:type="dxa" w:w="61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[effective_date]</w:t>
            </w:r>
          </w:p>
        </w:tc>
      </w:tr>
      <w:tr>
        <w:tc>
          <w:tcPr>
            <w:tcW w:type="dxa" w:w="320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Change Trigger Events</w:t>
            </w:r>
          </w:p>
        </w:tc>
        <w:tc>
          <w:tcPr>
            <w:tcW w:type="dxa" w:w="61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 Material changes to KSA Labour Law or CBUAE employment regulations
• Significant changes to organisational structure affecting disciplinary governance
• Outcomes of formal disciplinary reviews or regulatory audits
• Changes to related policies affecting employee conduct or performance</w:t>
            </w:r>
          </w:p>
        </w:tc>
      </w:tr>
      <w:tr>
        <w:tc>
          <w:tcPr>
            <w:tcW w:type="dxa" w:w="320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Distribution Method</w:t>
            </w:r>
          </w:p>
        </w:tc>
        <w:tc>
          <w:tcPr>
            <w:tcW w:type="dxa" w:w="61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Internal Policy Management System and employee handbooks</w:t>
            </w:r>
          </w:p>
        </w:tc>
      </w:tr>
      <w:tr>
        <w:tc>
          <w:tcPr>
            <w:tcW w:type="dxa" w:w="320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Next Scheduled Review</w:t>
            </w:r>
          </w:p>
        </w:tc>
        <w:tc>
          <w:tcPr>
            <w:tcW w:type="dxa" w:w="61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[next_review_date] (Annual cycle or event-driven)</w:t>
            </w:r>
          </w:p>
        </w:tc>
      </w:tr>
      <w:tr>
        <w:tc>
          <w:tcPr>
            <w:tcW w:type="dxa" w:w="320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Document Retention</w:t>
            </w:r>
          </w:p>
        </w:tc>
        <w:tc>
          <w:tcPr>
            <w:tcW w:type="dxa" w:w="61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Superseded versions retained for a minimum of five (5) years for legal and regulatory reference. Individual disciplinary records shall be retained in accordance with applicable labour law requirements.</w:t>
            </w:r>
          </w:p>
        </w:tc>
      </w:tr>
    </w:tbl>
    <w:p>
      <w:pPr>
        <w:spacing w:before="200" w:after="200"/>
      </w:pPr>
      <w:r>
        <w:t xml:space="preserve"/>
      </w:r>
    </w:p>
    <w:p>
      <w:pPr>
        <w:pStyle w:val="Heading2"/>
        <w:spacing w:before="280" w:after="140"/>
      </w:pPr>
      <w:r>
        <w:rPr>
          <w:rFonts w:ascii="Arial" w:cs="Arial" w:eastAsia="Arial" w:hAnsi="Arial"/>
          <w:b/>
          <w:bCs/>
          <w:color w:val="3F7E54"/>
          <w:sz w:val="26"/>
          <w:szCs w:val="26"/>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000"/>
        <w:gridCol w:w="3800"/>
      </w:tblGrid>
      <w:tr>
        <w:tc>
          <w:tcPr>
            <w:tcW w:type="dxa" w:w="1560"/>
            <w:tcBorders>
              <w:top w:val="single" w:color="AAAAAA" w:sz="4"/>
              <w:left w:val="single" w:color="AAAAAA" w:sz="4"/>
              <w:bottom w:val="single" w:color="AAAAAA" w:sz="4"/>
              <w:right w:val="single" w:color="AAAAAA" w:sz="4"/>
            </w:tcBorders>
            <w:shd w:fill="3A624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1"/>
                <w:szCs w:val="21"/>
              </w:rPr>
              <w:t xml:space="preserve">Version</w:t>
            </w:r>
          </w:p>
        </w:tc>
        <w:tc>
          <w:tcPr>
            <w:tcW w:type="dxa" w:w="2000"/>
            <w:tcBorders>
              <w:top w:val="single" w:color="AAAAAA" w:sz="4"/>
              <w:left w:val="single" w:color="AAAAAA" w:sz="4"/>
              <w:bottom w:val="single" w:color="AAAAAA" w:sz="4"/>
              <w:right w:val="single" w:color="AAAAAA" w:sz="4"/>
            </w:tcBorders>
            <w:shd w:fill="3A624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1"/>
                <w:szCs w:val="21"/>
              </w:rPr>
              <w:t xml:space="preserve">Type of Change</w:t>
            </w:r>
          </w:p>
        </w:tc>
        <w:tc>
          <w:tcPr>
            <w:tcW w:type="dxa" w:w="2000"/>
            <w:tcBorders>
              <w:top w:val="single" w:color="AAAAAA" w:sz="4"/>
              <w:left w:val="single" w:color="AAAAAA" w:sz="4"/>
              <w:bottom w:val="single" w:color="AAAAAA" w:sz="4"/>
              <w:right w:val="single" w:color="AAAAAA" w:sz="4"/>
            </w:tcBorders>
            <w:shd w:fill="3A624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1"/>
                <w:szCs w:val="21"/>
              </w:rPr>
              <w:t xml:space="preserve">Date</w:t>
            </w:r>
          </w:p>
        </w:tc>
        <w:tc>
          <w:tcPr>
            <w:tcW w:type="dxa" w:w="3800"/>
            <w:tcBorders>
              <w:top w:val="single" w:color="AAAAAA" w:sz="4"/>
              <w:left w:val="single" w:color="AAAAAA" w:sz="4"/>
              <w:bottom w:val="single" w:color="AAAAAA" w:sz="4"/>
              <w:right w:val="single" w:color="AAAAAA" w:sz="4"/>
            </w:tcBorders>
            <w:shd w:fill="3A624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1"/>
                <w:szCs w:val="21"/>
              </w:rPr>
              <w:t xml:space="preserve">Description of Change</w:t>
            </w:r>
          </w:p>
        </w:tc>
      </w:tr>
      <w:tr>
        <w:tc>
          <w:tcPr>
            <w:tcW w:type="dxa" w:w="15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center"/>
            </w:pPr>
            <w:r>
              <w:rPr>
                <w:rFonts w:ascii="Arial" w:cs="Arial" w:eastAsia="Arial" w:hAnsi="Arial"/>
                <w:b w:val="false"/>
                <w:bCs w:val="false"/>
                <w:color w:val="404040"/>
                <w:sz w:val="21"/>
                <w:szCs w:val="21"/>
              </w:rPr>
              <w:t xml:space="preserve">1.0</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Initial Release</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[effective_date]</w:t>
            </w:r>
          </w:p>
        </w:tc>
        <w:tc>
          <w:tcPr>
            <w:tcW w:type="dxa" w:w="38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First approved version.</w:t>
            </w:r>
          </w:p>
        </w:tc>
      </w:tr>
      <w:tr>
        <w:tc>
          <w:tcPr>
            <w:tcW w:type="dxa" w:w="15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
            </w:r>
          </w:p>
        </w:tc>
        <w:tc>
          <w:tcPr>
            <w:tcW w:type="dxa" w:w="38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
            </w:r>
          </w:p>
        </w:tc>
      </w:tr>
    </w:tbl>
    <w:p>
      <w:r>
        <w:br w:type="page"/>
      </w:r>
    </w:p>
    <w:p>
      <w:pPr>
        <w:pStyle w:val="Heading1"/>
        <w:pBdr>
          <w:bottom w:val="single" w:color="3F7E54" w:sz="6" w:space="4"/>
        </w:pBdr>
        <w:spacing w:before="400" w:after="200"/>
      </w:pPr>
      <w:r>
        <w:rPr>
          <w:rFonts w:ascii="Arial" w:cs="Arial" w:eastAsia="Arial" w:hAnsi="Arial"/>
          <w:b/>
          <w:bCs/>
          <w:color w:val="4F6C52"/>
          <w:sz w:val="32"/>
          <w:szCs w:val="32"/>
        </w:rPr>
        <w:t xml:space="preserve">Regulatory and Standards Alignment</w:t>
      </w:r>
    </w:p>
    <w:p>
      <w:pPr>
        <w:spacing w:after="160" w:before="0"/>
        <w:jc w:val="left"/>
      </w:pPr>
      <w:r>
        <w:rPr>
          <w:rFonts w:ascii="Arial" w:cs="Arial" w:eastAsia="Arial" w:hAnsi="Arial"/>
          <w:b w:val="false"/>
          <w:bCs w:val="false"/>
          <w:i w:val="false"/>
          <w:iCs w:val="false"/>
          <w:color w:val="404040"/>
          <w:sz w:val="21"/>
          <w:szCs w:val="21"/>
        </w:rPr>
        <w:t xml:space="preserve">This Policy has been developed in alignment with the regulatory obligations applicable to Fintech organisations operating in the Kingdom of Saudi Arabia (KSA) and the United Arab Emirates (UAE), and with internationally recognised information security and governance standards.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AAAAAA" w:sz="4"/>
              <w:left w:val="single" w:color="AAAAAA" w:sz="4"/>
              <w:bottom w:val="single" w:color="AAAAAA" w:sz="4"/>
              <w:right w:val="single" w:color="AAAAAA" w:sz="4"/>
            </w:tcBorders>
            <w:shd w:fill="3A624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1"/>
                <w:szCs w:val="21"/>
              </w:rPr>
              <w:t xml:space="preserve">Framework / Regulation</w:t>
            </w:r>
          </w:p>
        </w:tc>
        <w:tc>
          <w:tcPr>
            <w:tcW w:type="dxa" w:w="3080"/>
            <w:tcBorders>
              <w:top w:val="single" w:color="AAAAAA" w:sz="4"/>
              <w:left w:val="single" w:color="AAAAAA" w:sz="4"/>
              <w:bottom w:val="single" w:color="AAAAAA" w:sz="4"/>
              <w:right w:val="single" w:color="AAAAAA" w:sz="4"/>
            </w:tcBorders>
            <w:shd w:fill="3A624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1"/>
                <w:szCs w:val="21"/>
              </w:rPr>
              <w:t xml:space="preserve">Relevant Domain / Control</w:t>
            </w:r>
          </w:p>
        </w:tc>
        <w:tc>
          <w:tcPr>
            <w:tcW w:type="dxa" w:w="3080"/>
            <w:tcBorders>
              <w:top w:val="single" w:color="AAAAAA" w:sz="4"/>
              <w:left w:val="single" w:color="AAAAAA" w:sz="4"/>
              <w:bottom w:val="single" w:color="AAAAAA" w:sz="4"/>
              <w:right w:val="single" w:color="AAAAAA" w:sz="4"/>
            </w:tcBorders>
            <w:shd w:fill="3A624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1"/>
                <w:szCs w:val="21"/>
              </w:rPr>
              <w:t xml:space="preserve">Policy Section Mapping</w:t>
            </w:r>
          </w:p>
        </w:tc>
      </w:tr>
      <w:tr>
        <w:tc>
          <w:tcPr>
            <w:tcW w:type="dxa" w:w="320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SAMA Cyber Security Framework (CSF) v1.0</w:t>
            </w:r>
          </w:p>
        </w:tc>
        <w:tc>
          <w:tcPr>
            <w:tcW w:type="dxa" w:w="308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Domain 3.7 - Incident Response and Recovery; Domain 3.3 - Cybersecurity Policies</w:t>
            </w:r>
          </w:p>
        </w:tc>
        <w:tc>
          <w:tcPr>
            <w:tcW w:type="dxa" w:w="308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Sections 4, 6</w:t>
            </w:r>
          </w:p>
        </w:tc>
      </w:tr>
      <w:tr>
        <w:tc>
          <w:tcPr>
            <w:tcW w:type="dxa" w:w="320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ISO/IEC 27001:2022</w:t>
            </w:r>
          </w:p>
        </w:tc>
        <w:tc>
          <w:tcPr>
            <w:tcW w:type="dxa" w:w="308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Annex A - A.6.2 Terms and conditions of employment; A.8.3 Information security awareness, education and training</w:t>
            </w:r>
          </w:p>
        </w:tc>
        <w:tc>
          <w:tcPr>
            <w:tcW w:type="dxa" w:w="308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Sections 2, 4, 5</w:t>
            </w:r>
          </w:p>
        </w:tc>
      </w:tr>
      <w:tr>
        <w:tc>
          <w:tcPr>
            <w:tcW w:type="dxa" w:w="320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KSA Labour Law (Royal Decree No. M/51/1981)</w:t>
            </w:r>
          </w:p>
        </w:tc>
        <w:tc>
          <w:tcPr>
            <w:tcW w:type="dxa" w:w="308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Articles 70-80 - Disciplinary Action and Termination; Article 44 - Terms of Employment Contract</w:t>
            </w:r>
          </w:p>
        </w:tc>
        <w:tc>
          <w:tcPr>
            <w:tcW w:type="dxa" w:w="308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Sections 1, 3, 4, 5, 7</w:t>
            </w:r>
          </w:p>
        </w:tc>
      </w:tr>
      <w:tr>
        <w:tc>
          <w:tcPr>
            <w:tcW w:type="dxa" w:w="320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CBUAE Employment Regulations</w:t>
            </w:r>
          </w:p>
        </w:tc>
        <w:tc>
          <w:tcPr>
            <w:tcW w:type="dxa" w:w="308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Articles on fair disciplinary procedure and protection of employee rights</w:t>
            </w:r>
          </w:p>
        </w:tc>
        <w:tc>
          <w:tcPr>
            <w:tcW w:type="dxa" w:w="308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Sections 3, 4, 6</w:t>
            </w:r>
          </w:p>
        </w:tc>
      </w:tr>
      <w:tr>
        <w:tc>
          <w:tcPr>
            <w:tcW w:type="dxa" w:w="320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KSA Personal Data Protection Law (PDPL)</w:t>
            </w:r>
          </w:p>
        </w:tc>
        <w:tc>
          <w:tcPr>
            <w:tcW w:type="dxa" w:w="308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Article 5 - Lawful processing; Article 6 - Consent; Article 13 - Data subject rights</w:t>
            </w:r>
          </w:p>
        </w:tc>
        <w:tc>
          <w:tcPr>
            <w:tcW w:type="dxa" w:w="308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Sections 2, 4.2, 6</w:t>
            </w:r>
          </w:p>
        </w:tc>
      </w:tr>
    </w:tbl>
    <w:p>
      <w:r>
        <w:br w:type="page"/>
      </w:r>
    </w:p>
    <w:p>
      <w:pPr>
        <w:pStyle w:val="Heading1"/>
        <w:pBdr>
          <w:bottom w:val="single" w:color="3F7E54" w:sz="6" w:space="4"/>
        </w:pBdr>
        <w:spacing w:before="400" w:after="200"/>
      </w:pPr>
      <w:r>
        <w:rPr>
          <w:rFonts w:ascii="Arial" w:cs="Arial" w:eastAsia="Arial" w:hAnsi="Arial"/>
          <w:b/>
          <w:bCs/>
          <w:color w:val="4F6C52"/>
          <w:sz w:val="32"/>
          <w:szCs w:val="32"/>
        </w:rPr>
        <w:t xml:space="preserve">1.  Purpose and Scope</w:t>
      </w:r>
    </w:p>
    <w:p>
      <w:pPr>
        <w:spacing w:after="160" w:before="0"/>
        <w:jc w:val="left"/>
      </w:pPr>
      <w:r>
        <w:rPr>
          <w:rFonts w:ascii="Arial" w:cs="Arial" w:eastAsia="Arial" w:hAnsi="Arial"/>
          <w:b w:val="false"/>
          <w:bCs w:val="false"/>
          <w:i w:val="false"/>
          <w:iCs w:val="false"/>
          <w:color w:val="404040"/>
          <w:sz w:val="21"/>
          <w:szCs w:val="21"/>
        </w:rPr>
        <w:t xml:space="preserve">This Policy establishes a formal, fair, and consistent disciplinary procedure for managing instances of misconduct or inadequate performance by employees and full-time contractors. The procedure is designed to:</w:t>
      </w:r>
    </w:p>
    <w:p>
      <w:pPr>
        <w:pStyle w:val="ListParagraph"/>
        <w:numPr>
          <w:ilvl w:val="0"/>
          <w:numId w:val="2"/>
        </w:numPr>
        <w:spacing w:after="100"/>
      </w:pPr>
      <w:r>
        <w:rPr>
          <w:rFonts w:ascii="Arial" w:cs="Arial" w:eastAsia="Arial" w:hAnsi="Arial"/>
          <w:color w:val="404040"/>
          <w:sz w:val="21"/>
          <w:szCs w:val="21"/>
        </w:rPr>
        <w:t xml:space="preserve">Maintain high standards of conduct and performance across the Organisation.</w:t>
      </w:r>
    </w:p>
    <w:p>
      <w:pPr>
        <w:pStyle w:val="ListParagraph"/>
        <w:numPr>
          <w:ilvl w:val="0"/>
          <w:numId w:val="2"/>
        </w:numPr>
        <w:spacing w:after="100"/>
      </w:pPr>
      <w:r>
        <w:rPr>
          <w:rFonts w:ascii="Arial" w:cs="Arial" w:eastAsia="Arial" w:hAnsi="Arial"/>
          <w:color w:val="404040"/>
          <w:sz w:val="21"/>
          <w:szCs w:val="21"/>
        </w:rPr>
        <w:t xml:space="preserve">Ensure fairness and consistency in the investigation and resolution of disciplinary matters.</w:t>
      </w:r>
    </w:p>
    <w:p>
      <w:pPr>
        <w:pStyle w:val="ListParagraph"/>
        <w:numPr>
          <w:ilvl w:val="0"/>
          <w:numId w:val="2"/>
        </w:numPr>
        <w:spacing w:after="100"/>
      </w:pPr>
      <w:r>
        <w:rPr>
          <w:rFonts w:ascii="Arial" w:cs="Arial" w:eastAsia="Arial" w:hAnsi="Arial"/>
          <w:color w:val="404040"/>
          <w:sz w:val="21"/>
          <w:szCs w:val="21"/>
        </w:rPr>
        <w:t xml:space="preserve">Provide employees with the opportunity to understand allegations and respond to them in a formal hearing.</w:t>
      </w:r>
    </w:p>
    <w:p>
      <w:pPr>
        <w:pStyle w:val="ListParagraph"/>
        <w:numPr>
          <w:ilvl w:val="0"/>
          <w:numId w:val="2"/>
        </w:numPr>
        <w:spacing w:after="100"/>
      </w:pPr>
      <w:r>
        <w:rPr>
          <w:rFonts w:ascii="Arial" w:cs="Arial" w:eastAsia="Arial" w:hAnsi="Arial"/>
          <w:color w:val="404040"/>
          <w:sz w:val="21"/>
          <w:szCs w:val="21"/>
        </w:rPr>
        <w:t xml:space="preserve">Comply with applicable labour law in the Kingdom of Saudi Arabia, the United Arab Emirates, and other relevant jurisdictions.</w:t>
      </w:r>
    </w:p>
    <w:p>
      <w:pPr>
        <w:pStyle w:val="ListParagraph"/>
        <w:numPr>
          <w:ilvl w:val="0"/>
          <w:numId w:val="2"/>
        </w:numPr>
        <w:spacing w:after="100"/>
      </w:pPr>
      <w:r>
        <w:rPr>
          <w:rFonts w:ascii="Arial" w:cs="Arial" w:eastAsia="Arial" w:hAnsi="Arial"/>
          <w:color w:val="404040"/>
          <w:sz w:val="21"/>
          <w:szCs w:val="21"/>
        </w:rPr>
        <w:t xml:space="preserve">Protect the Organisation's interests and reputation whilst respecting employee rights and dignity.</w:t>
      </w:r>
    </w:p>
    <w:p>
      <w:pPr>
        <w:spacing w:after="160" w:before="120"/>
        <w:jc w:val="left"/>
      </w:pPr>
      <w:r>
        <w:rPr>
          <w:rFonts w:ascii="Arial" w:cs="Arial" w:eastAsia="Arial" w:hAnsi="Arial"/>
          <w:b w:val="false"/>
          <w:bCs w:val="false"/>
          <w:i w:val="false"/>
          <w:iCs w:val="false"/>
          <w:color w:val="404040"/>
          <w:sz w:val="21"/>
          <w:szCs w:val="21"/>
        </w:rPr>
        <w:t xml:space="preserve">This Policy applies to all employees and full-time contractors, regardless of length of service. It does not apply to agency workers, temporary staff, or self-employed contractors unless specific engagement terms provide otherwise. Minor behavioural or performance issues should usually be resolved informally with the line manager and the People team before formal disciplinary action is initiated.</w:t>
      </w:r>
    </w:p>
    <w:p>
      <w:pPr>
        <w:pStyle w:val="Heading1"/>
        <w:pBdr>
          <w:bottom w:val="single" w:color="3F7E54" w:sz="6" w:space="4"/>
        </w:pBdr>
        <w:spacing w:before="400" w:after="200"/>
      </w:pPr>
      <w:r>
        <w:rPr>
          <w:rFonts w:ascii="Arial" w:cs="Arial" w:eastAsia="Arial" w:hAnsi="Arial"/>
          <w:b/>
          <w:bCs/>
          <w:color w:val="4F6C52"/>
          <w:sz w:val="32"/>
          <w:szCs w:val="32"/>
        </w:rPr>
        <w:t xml:space="preserve">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4"/>
              <w:left w:val="single" w:color="AAAAAA" w:sz="4"/>
              <w:bottom w:val="single" w:color="AAAAAA" w:sz="4"/>
              <w:right w:val="single" w:color="AAAAAA" w:sz="4"/>
            </w:tcBorders>
            <w:shd w:fill="3A624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1"/>
                <w:szCs w:val="21"/>
              </w:rPr>
              <w:t xml:space="preserve">Term</w:t>
            </w:r>
          </w:p>
        </w:tc>
        <w:tc>
          <w:tcPr>
            <w:tcW w:type="dxa" w:w="6960"/>
            <w:tcBorders>
              <w:top w:val="single" w:color="AAAAAA" w:sz="4"/>
              <w:left w:val="single" w:color="AAAAAA" w:sz="4"/>
              <w:bottom w:val="single" w:color="AAAAAA" w:sz="4"/>
              <w:right w:val="single" w:color="AAAAAA" w:sz="4"/>
            </w:tcBorders>
            <w:shd w:fill="3A624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1"/>
                <w:szCs w:val="21"/>
              </w:rPr>
              <w:t xml:space="preserve">Definition</w:t>
            </w:r>
          </w:p>
        </w:tc>
      </w:tr>
      <w:tr>
        <w:tc>
          <w:tcPr>
            <w:tcW w:type="dxa" w:w="240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Appeal</w:t>
            </w:r>
          </w:p>
        </w:tc>
        <w:tc>
          <w:tcPr>
            <w:tcW w:type="dxa" w:w="69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A formal written request by an employee to challenge or seek review of a disciplinary decision by a more senior manager or person not previously involved in the matter.</w:t>
            </w:r>
          </w:p>
        </w:tc>
      </w:tr>
      <w:tr>
        <w:tc>
          <w:tcPr>
            <w:tcW w:type="dxa" w:w="240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Companion</w:t>
            </w:r>
          </w:p>
        </w:tc>
        <w:tc>
          <w:tcPr>
            <w:tcW w:type="dxa" w:w="69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A colleague chosen by an employee to provide support and representation during a disciplinary meeting or appeal hearing.</w:t>
            </w:r>
          </w:p>
        </w:tc>
      </w:tr>
      <w:tr>
        <w:tc>
          <w:tcPr>
            <w:tcW w:type="dxa" w:w="240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Disciplinary Action</w:t>
            </w:r>
          </w:p>
        </w:tc>
        <w:tc>
          <w:tcPr>
            <w:tcW w:type="dxa" w:w="69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Any formal measure taken in response to misconduct or inadequate performance, ranging from a verbal warning to summary dismissal.</w:t>
            </w:r>
          </w:p>
        </w:tc>
      </w:tr>
      <w:tr>
        <w:tc>
          <w:tcPr>
            <w:tcW w:type="dxa" w:w="240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Gross Misconduct</w:t>
            </w:r>
          </w:p>
        </w:tc>
        <w:tc>
          <w:tcPr>
            <w:tcW w:type="dxa" w:w="69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Serious breach of the contract of employment or conduct so serious that it fundamentally damages the trust and confidence between employer and employee, typically resulting in summary dismissal.</w:t>
            </w:r>
          </w:p>
        </w:tc>
      </w:tr>
      <w:tr>
        <w:tc>
          <w:tcPr>
            <w:tcW w:type="dxa" w:w="240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Hearing</w:t>
            </w:r>
          </w:p>
        </w:tc>
        <w:tc>
          <w:tcPr>
            <w:tcW w:type="dxa" w:w="69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A formal meeting held to investigate and make decisions on disciplinary matters involving the employee, management, and potentially the People team and witnesses.</w:t>
            </w:r>
          </w:p>
        </w:tc>
      </w:tr>
      <w:tr>
        <w:tc>
          <w:tcPr>
            <w:tcW w:type="dxa" w:w="240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Investigation</w:t>
            </w:r>
          </w:p>
        </w:tc>
        <w:tc>
          <w:tcPr>
            <w:tcW w:type="dxa" w:w="69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A fact-finding process conducted to gather information and evidence relating to an alleged misconduct or performance matter before any disciplinary action is taken.</w:t>
            </w:r>
          </w:p>
        </w:tc>
      </w:tr>
      <w:tr>
        <w:tc>
          <w:tcPr>
            <w:tcW w:type="dxa" w:w="240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Misconduct</w:t>
            </w:r>
          </w:p>
        </w:tc>
        <w:tc>
          <w:tcPr>
            <w:tcW w:type="dxa" w:w="69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Failure by an employee to meet expected standards of conduct or performance, whether intentional or negligent, in breach of policies or contractual obligations.</w:t>
            </w:r>
          </w:p>
        </w:tc>
      </w:tr>
      <w:tr>
        <w:tc>
          <w:tcPr>
            <w:tcW w:type="dxa" w:w="240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Performance Improvement Plan (PIP)</w:t>
            </w:r>
          </w:p>
        </w:tc>
        <w:tc>
          <w:tcPr>
            <w:tcW w:type="dxa" w:w="69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A documented plan setting specific performance targets, support measures, and timelines for an employee to meet during a defined improvement period.</w:t>
            </w:r>
          </w:p>
        </w:tc>
      </w:tr>
      <w:tr>
        <w:tc>
          <w:tcPr>
            <w:tcW w:type="dxa" w:w="240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Suspension</w:t>
            </w:r>
          </w:p>
        </w:tc>
        <w:tc>
          <w:tcPr>
            <w:tcW w:type="dxa" w:w="69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Temporary removal of an employee from the workplace during an investigation or disciplinary procedure, without prejudice to the final outcome. Suspension is not itself a disciplinary sanction.</w:t>
            </w:r>
          </w:p>
        </w:tc>
      </w:tr>
      <w:tr>
        <w:tc>
          <w:tcPr>
            <w:tcW w:type="dxa" w:w="240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Verbal Warning</w:t>
            </w:r>
          </w:p>
        </w:tc>
        <w:tc>
          <w:tcPr>
            <w:tcW w:type="dxa" w:w="69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An initial disciplinary stage in which an employee is formally informed, documented, and recorded, of a conduct or performance issue, with opportunity to improve.</w:t>
            </w:r>
          </w:p>
        </w:tc>
      </w:tr>
      <w:tr>
        <w:tc>
          <w:tcPr>
            <w:tcW w:type="dxa" w:w="240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Written Reprimand</w:t>
            </w:r>
          </w:p>
        </w:tc>
        <w:tc>
          <w:tcPr>
            <w:tcW w:type="dxa" w:w="69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A formal written notice documenting misconduct or performance failure, served to the employee and placed on their personnel file.</w:t>
            </w:r>
          </w:p>
        </w:tc>
      </w:tr>
      <w:tr>
        <w:tc>
          <w:tcPr>
            <w:tcW w:type="dxa" w:w="240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Final Written Warning</w:t>
            </w:r>
          </w:p>
        </w:tc>
        <w:tc>
          <w:tcPr>
            <w:tcW w:type="dxa" w:w="69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A serious formal written notice indicating that further misconduct or failure to improve within a specified period will result in dismissal or other serious sanction.</w:t>
            </w:r>
          </w:p>
        </w:tc>
      </w:tr>
    </w:tbl>
    <w:p>
      <w:pPr>
        <w:pStyle w:val="Heading1"/>
        <w:pBdr>
          <w:bottom w:val="single" w:color="3F7E54" w:sz="6" w:space="4"/>
        </w:pBdr>
        <w:spacing w:before="400" w:after="200"/>
      </w:pPr>
      <w:r>
        <w:rPr>
          <w:rFonts w:ascii="Arial" w:cs="Arial" w:eastAsia="Arial" w:hAnsi="Arial"/>
          <w:b/>
          <w:bCs/>
          <w:color w:val="4F6C52"/>
          <w:sz w:val="32"/>
          <w:szCs w:val="32"/>
        </w:rPr>
        <w:t xml:space="preserve">4.  Core Principles</w:t>
      </w:r>
    </w:p>
    <w:p>
      <w:pPr>
        <w:spacing w:after="160" w:before="0"/>
        <w:jc w:val="left"/>
      </w:pPr>
      <w:r>
        <w:rPr>
          <w:rFonts w:ascii="Arial" w:cs="Arial" w:eastAsia="Arial" w:hAnsi="Arial"/>
          <w:b w:val="false"/>
          <w:bCs w:val="false"/>
          <w:i w:val="false"/>
          <w:iCs w:val="false"/>
          <w:color w:val="404040"/>
          <w:sz w:val="21"/>
          <w:szCs w:val="21"/>
        </w:rPr>
        <w:t xml:space="preserve">The following principles shall govern the conduct of all disciplinary proceedings:</w:t>
      </w:r>
    </w:p>
    <w:p>
      <w:pPr>
        <w:pStyle w:val="Heading2"/>
        <w:spacing w:before="280" w:after="140"/>
      </w:pPr>
      <w:r>
        <w:rPr>
          <w:rFonts w:ascii="Arial" w:cs="Arial" w:eastAsia="Arial" w:hAnsi="Arial"/>
          <w:b/>
          <w:bCs/>
          <w:color w:val="3F7E54"/>
          <w:sz w:val="26"/>
          <w:szCs w:val="26"/>
        </w:rPr>
        <w:t xml:space="preserve">4.1  Fairness and Natural Justice</w:t>
      </w:r>
    </w:p>
    <w:p>
      <w:pPr>
        <w:pStyle w:val="ListParagraph"/>
        <w:numPr>
          <w:ilvl w:val="0"/>
          <w:numId w:val="2"/>
        </w:numPr>
        <w:spacing w:after="100"/>
      </w:pPr>
      <w:r>
        <w:rPr>
          <w:rFonts w:ascii="Arial" w:cs="Arial" w:eastAsia="Arial" w:hAnsi="Arial"/>
          <w:color w:val="404040"/>
          <w:sz w:val="21"/>
          <w:szCs w:val="21"/>
        </w:rPr>
        <w:t xml:space="preserve">Every employee has the right to be informed of the allegations against them in writing and to have a reasonable opportunity to prepare a response.</w:t>
      </w:r>
    </w:p>
    <w:p>
      <w:pPr>
        <w:pStyle w:val="ListParagraph"/>
        <w:numPr>
          <w:ilvl w:val="0"/>
          <w:numId w:val="2"/>
        </w:numPr>
        <w:spacing w:after="100"/>
      </w:pPr>
      <w:r>
        <w:rPr>
          <w:rFonts w:ascii="Arial" w:cs="Arial" w:eastAsia="Arial" w:hAnsi="Arial"/>
          <w:color w:val="404040"/>
          <w:sz w:val="21"/>
          <w:szCs w:val="21"/>
        </w:rPr>
        <w:t xml:space="preserve">No disciplinary action shall be taken without a formal disciplinary hearing, except in cases of summary dismissal for gross misconduct.</w:t>
      </w:r>
    </w:p>
    <w:p>
      <w:pPr>
        <w:pStyle w:val="ListParagraph"/>
        <w:numPr>
          <w:ilvl w:val="0"/>
          <w:numId w:val="2"/>
        </w:numPr>
        <w:spacing w:after="100"/>
      </w:pPr>
      <w:r>
        <w:rPr>
          <w:rFonts w:ascii="Arial" w:cs="Arial" w:eastAsia="Arial" w:hAnsi="Arial"/>
          <w:color w:val="404040"/>
          <w:sz w:val="21"/>
          <w:szCs w:val="21"/>
        </w:rPr>
        <w:t xml:space="preserve">The employee has the right to be accompanied by a colleague of their choice at all disciplinary and appeal meetings.</w:t>
      </w:r>
    </w:p>
    <w:p>
      <w:pPr>
        <w:pStyle w:val="ListParagraph"/>
        <w:numPr>
          <w:ilvl w:val="0"/>
          <w:numId w:val="2"/>
        </w:numPr>
        <w:spacing w:after="100"/>
      </w:pPr>
      <w:r>
        <w:rPr>
          <w:rFonts w:ascii="Arial" w:cs="Arial" w:eastAsia="Arial" w:hAnsi="Arial"/>
          <w:color w:val="404040"/>
          <w:sz w:val="21"/>
          <w:szCs w:val="21"/>
        </w:rPr>
        <w:t xml:space="preserve">An employee has the right to appeal against any disciplinary decision to a more senior person who has not previously been involved in the matter.</w:t>
      </w:r>
    </w:p>
    <w:p>
      <w:pPr>
        <w:pStyle w:val="Heading2"/>
        <w:spacing w:before="280" w:after="140"/>
      </w:pPr>
      <w:r>
        <w:rPr>
          <w:rFonts w:ascii="Arial" w:cs="Arial" w:eastAsia="Arial" w:hAnsi="Arial"/>
          <w:b/>
          <w:bCs/>
          <w:color w:val="3F7E54"/>
          <w:sz w:val="26"/>
          <w:szCs w:val="26"/>
        </w:rPr>
        <w:t xml:space="preserve">4.2  Confidentiality</w:t>
      </w:r>
    </w:p>
    <w:p>
      <w:pPr>
        <w:pStyle w:val="ListParagraph"/>
        <w:numPr>
          <w:ilvl w:val="0"/>
          <w:numId w:val="2"/>
        </w:numPr>
        <w:spacing w:after="100"/>
      </w:pPr>
      <w:r>
        <w:rPr>
          <w:rFonts w:ascii="Arial" w:cs="Arial" w:eastAsia="Arial" w:hAnsi="Arial"/>
          <w:color w:val="404040"/>
          <w:sz w:val="21"/>
          <w:szCs w:val="21"/>
        </w:rPr>
        <w:t xml:space="preserve">All discussions, investigations, and disciplinary meetings are treated as confidential to the extent permitted by law.</w:t>
      </w:r>
    </w:p>
    <w:p>
      <w:pPr>
        <w:pStyle w:val="ListParagraph"/>
        <w:numPr>
          <w:ilvl w:val="0"/>
          <w:numId w:val="2"/>
        </w:numPr>
        <w:spacing w:after="100"/>
      </w:pPr>
      <w:r>
        <w:rPr>
          <w:rFonts w:ascii="Arial" w:cs="Arial" w:eastAsia="Arial" w:hAnsi="Arial"/>
          <w:color w:val="404040"/>
          <w:sz w:val="21"/>
          <w:szCs w:val="21"/>
        </w:rPr>
        <w:t xml:space="preserve">Information shall be shared only with those persons with a genuine need to know and who are bound by confidentiality obligations.</w:t>
      </w:r>
    </w:p>
    <w:p>
      <w:pPr>
        <w:pStyle w:val="ListParagraph"/>
        <w:numPr>
          <w:ilvl w:val="0"/>
          <w:numId w:val="2"/>
        </w:numPr>
        <w:spacing w:after="100"/>
      </w:pPr>
      <w:r>
        <w:rPr>
          <w:rFonts w:ascii="Arial" w:cs="Arial" w:eastAsia="Arial" w:hAnsi="Arial"/>
          <w:color w:val="404040"/>
          <w:sz w:val="21"/>
          <w:szCs w:val="21"/>
        </w:rPr>
        <w:t xml:space="preserve">Witness statements and investigation documentation are disclosed to the employee unless there are genuine safety or legal reasons not to do so.</w:t>
      </w:r>
    </w:p>
    <w:p>
      <w:pPr>
        <w:pStyle w:val="Heading2"/>
        <w:spacing w:before="280" w:after="140"/>
      </w:pPr>
      <w:r>
        <w:rPr>
          <w:rFonts w:ascii="Arial" w:cs="Arial" w:eastAsia="Arial" w:hAnsi="Arial"/>
          <w:b/>
          <w:bCs/>
          <w:color w:val="3F7E54"/>
          <w:sz w:val="26"/>
          <w:szCs w:val="26"/>
        </w:rPr>
        <w:t xml:space="preserve">4.3  Proportionality</w:t>
      </w:r>
    </w:p>
    <w:p>
      <w:pPr>
        <w:pStyle w:val="ListParagraph"/>
        <w:numPr>
          <w:ilvl w:val="0"/>
          <w:numId w:val="2"/>
        </w:numPr>
        <w:spacing w:after="100"/>
      </w:pPr>
      <w:r>
        <w:rPr>
          <w:rFonts w:ascii="Arial" w:cs="Arial" w:eastAsia="Arial" w:hAnsi="Arial"/>
          <w:color w:val="404040"/>
          <w:sz w:val="21"/>
          <w:szCs w:val="21"/>
        </w:rPr>
        <w:t xml:space="preserve">Disciplinary sanctions shall be proportionate to the severity, intent, and recurrence of the misconduct or performance failure.</w:t>
      </w:r>
    </w:p>
    <w:p>
      <w:pPr>
        <w:pStyle w:val="ListParagraph"/>
        <w:numPr>
          <w:ilvl w:val="0"/>
          <w:numId w:val="2"/>
        </w:numPr>
        <w:spacing w:after="100"/>
      </w:pPr>
      <w:r>
        <w:rPr>
          <w:rFonts w:ascii="Arial" w:cs="Arial" w:eastAsia="Arial" w:hAnsi="Arial"/>
          <w:color w:val="404040"/>
          <w:sz w:val="21"/>
          <w:szCs w:val="21"/>
        </w:rPr>
        <w:t xml:space="preserve">Previous disciplinary history may be taken into account, but employees shall not be punished twice for the same transgression.</w:t>
      </w:r>
    </w:p>
    <w:p>
      <w:pPr>
        <w:pStyle w:val="ListParagraph"/>
        <w:numPr>
          <w:ilvl w:val="0"/>
          <w:numId w:val="2"/>
        </w:numPr>
        <w:spacing w:after="100"/>
      </w:pPr>
      <w:r>
        <w:rPr>
          <w:rFonts w:ascii="Arial" w:cs="Arial" w:eastAsia="Arial" w:hAnsi="Arial"/>
          <w:color w:val="404040"/>
          <w:sz w:val="21"/>
          <w:szCs w:val="21"/>
        </w:rPr>
        <w:t xml:space="preserve">The procedure allows for entry at different stages depending on the gravity of the initial offence.</w:t>
      </w:r>
    </w:p>
    <w:p>
      <w:pPr>
        <w:pStyle w:val="Heading2"/>
        <w:spacing w:before="280" w:after="140"/>
      </w:pPr>
      <w:r>
        <w:rPr>
          <w:rFonts w:ascii="Arial" w:cs="Arial" w:eastAsia="Arial" w:hAnsi="Arial"/>
          <w:b/>
          <w:bCs/>
          <w:color w:val="3F7E54"/>
          <w:sz w:val="26"/>
          <w:szCs w:val="26"/>
        </w:rPr>
        <w:t xml:space="preserve">4.4  Impartiality</w:t>
      </w:r>
    </w:p>
    <w:p>
      <w:pPr>
        <w:pStyle w:val="ListParagraph"/>
        <w:numPr>
          <w:ilvl w:val="0"/>
          <w:numId w:val="2"/>
        </w:numPr>
        <w:spacing w:after="100"/>
      </w:pPr>
      <w:r>
        <w:rPr>
          <w:rFonts w:ascii="Arial" w:cs="Arial" w:eastAsia="Arial" w:hAnsi="Arial"/>
          <w:color w:val="404040"/>
          <w:sz w:val="21"/>
          <w:szCs w:val="21"/>
        </w:rPr>
        <w:t xml:space="preserve">Persons conducting investigations or disciplinary hearings shall be free from bias and shall act impartially.</w:t>
      </w:r>
    </w:p>
    <w:p>
      <w:pPr>
        <w:pStyle w:val="ListParagraph"/>
        <w:numPr>
          <w:ilvl w:val="0"/>
          <w:numId w:val="2"/>
        </w:numPr>
        <w:spacing w:after="100"/>
      </w:pPr>
      <w:r>
        <w:rPr>
          <w:rFonts w:ascii="Arial" w:cs="Arial" w:eastAsia="Arial" w:hAnsi="Arial"/>
          <w:color w:val="404040"/>
          <w:sz w:val="21"/>
          <w:szCs w:val="21"/>
        </w:rPr>
        <w:t xml:space="preserve">Where a conflict of interest exists (e.g., personal relationship with the employee), the matter shall be referred to an alternative manager.</w:t>
      </w:r>
    </w:p>
    <w:p>
      <w:pPr>
        <w:pStyle w:val="Heading1"/>
        <w:pBdr>
          <w:bottom w:val="single" w:color="3F7E54" w:sz="6" w:space="4"/>
        </w:pBdr>
        <w:spacing w:before="400" w:after="200"/>
      </w:pPr>
      <w:r>
        <w:rPr>
          <w:rFonts w:ascii="Arial" w:cs="Arial" w:eastAsia="Arial" w:hAnsi="Arial"/>
          <w:b/>
          <w:bCs/>
          <w:color w:val="4F6C52"/>
          <w:sz w:val="32"/>
          <w:szCs w:val="32"/>
        </w:rPr>
        <w:t xml:space="preserve">5.  Informal Resolution</w:t>
      </w:r>
    </w:p>
    <w:p>
      <w:pPr>
        <w:spacing w:after="160" w:before="0"/>
        <w:jc w:val="left"/>
      </w:pPr>
      <w:r>
        <w:rPr>
          <w:rFonts w:ascii="Arial" w:cs="Arial" w:eastAsia="Arial" w:hAnsi="Arial"/>
          <w:b w:val="false"/>
          <w:bCs w:val="false"/>
          <w:i w:val="false"/>
          <w:iCs w:val="false"/>
          <w:color w:val="404040"/>
          <w:sz w:val="21"/>
          <w:szCs w:val="21"/>
        </w:rPr>
        <w:t xml:space="preserve">Where minor behavioural or performance issues arise, they should be resolved informally and promptly through direct discussion between the employee and their line manager. The People team may be involved to provide guidance or mediation. Informal resolution may include:</w:t>
      </w:r>
    </w:p>
    <w:p>
      <w:pPr>
        <w:pStyle w:val="ListParagraph"/>
        <w:numPr>
          <w:ilvl w:val="0"/>
          <w:numId w:val="2"/>
        </w:numPr>
        <w:spacing w:after="100"/>
      </w:pPr>
      <w:r>
        <w:rPr>
          <w:rFonts w:ascii="Arial" w:cs="Arial" w:eastAsia="Arial" w:hAnsi="Arial"/>
          <w:color w:val="404040"/>
          <w:sz w:val="21"/>
          <w:szCs w:val="21"/>
        </w:rPr>
        <w:t xml:space="preserve">A private discussion clarifying expectations and consequences of further misconduct.</w:t>
      </w:r>
    </w:p>
    <w:p>
      <w:pPr>
        <w:pStyle w:val="ListParagraph"/>
        <w:numPr>
          <w:ilvl w:val="0"/>
          <w:numId w:val="2"/>
        </w:numPr>
        <w:spacing w:after="100"/>
      </w:pPr>
      <w:r>
        <w:rPr>
          <w:rFonts w:ascii="Arial" w:cs="Arial" w:eastAsia="Arial" w:hAnsi="Arial"/>
          <w:color w:val="404040"/>
          <w:sz w:val="21"/>
          <w:szCs w:val="21"/>
        </w:rPr>
        <w:t xml:space="preserve">Agreed corrective action such as coaching, mentoring, or additional training.</w:t>
      </w:r>
    </w:p>
    <w:p>
      <w:pPr>
        <w:pStyle w:val="ListParagraph"/>
        <w:numPr>
          <w:ilvl w:val="0"/>
          <w:numId w:val="2"/>
        </w:numPr>
        <w:spacing w:after="100"/>
      </w:pPr>
      <w:r>
        <w:rPr>
          <w:rFonts w:ascii="Arial" w:cs="Arial" w:eastAsia="Arial" w:hAnsi="Arial"/>
          <w:color w:val="404040"/>
          <w:sz w:val="21"/>
          <w:szCs w:val="21"/>
        </w:rPr>
        <w:t xml:space="preserve">A documented improvement discussion, without formal written warning, recorded in the employee's personnel file.</w:t>
      </w:r>
    </w:p>
    <w:p>
      <w:pPr>
        <w:spacing w:after="160" w:before="120"/>
        <w:jc w:val="left"/>
      </w:pPr>
      <w:r>
        <w:rPr>
          <w:rFonts w:ascii="Arial" w:cs="Arial" w:eastAsia="Arial" w:hAnsi="Arial"/>
          <w:b w:val="false"/>
          <w:bCs w:val="false"/>
          <w:i w:val="false"/>
          <w:iCs w:val="false"/>
          <w:color w:val="404040"/>
          <w:sz w:val="21"/>
          <w:szCs w:val="21"/>
        </w:rPr>
        <w:t xml:space="preserve">If the matter cannot be resolved informally, or if the conduct or performance failure is serious, the formal disciplinary procedure (Section 6) shall be initiated.</w:t>
      </w:r>
    </w:p>
    <w:p>
      <w:pPr>
        <w:pStyle w:val="Heading1"/>
        <w:pBdr>
          <w:bottom w:val="single" w:color="3F7E54" w:sz="6" w:space="4"/>
        </w:pBdr>
        <w:spacing w:before="400" w:after="200"/>
      </w:pPr>
      <w:r>
        <w:rPr>
          <w:rFonts w:ascii="Arial" w:cs="Arial" w:eastAsia="Arial" w:hAnsi="Arial"/>
          <w:b/>
          <w:bCs/>
          <w:color w:val="4F6C52"/>
          <w:sz w:val="32"/>
          <w:szCs w:val="32"/>
        </w:rPr>
        <w:t xml:space="preserve">6.  Formal Disciplinary Procedure</w:t>
      </w:r>
    </w:p>
    <w:p>
      <w:pPr>
        <w:pStyle w:val="Heading2"/>
        <w:spacing w:before="280" w:after="140"/>
      </w:pPr>
      <w:r>
        <w:rPr>
          <w:rFonts w:ascii="Arial" w:cs="Arial" w:eastAsia="Arial" w:hAnsi="Arial"/>
          <w:b/>
          <w:bCs/>
          <w:color w:val="3F7E54"/>
          <w:sz w:val="26"/>
          <w:szCs w:val="26"/>
        </w:rPr>
        <w:t xml:space="preserve">6.1  Investigation</w:t>
      </w:r>
    </w:p>
    <w:p>
      <w:pPr>
        <w:spacing w:after="160" w:before="0"/>
        <w:jc w:val="left"/>
      </w:pPr>
      <w:r>
        <w:rPr>
          <w:rFonts w:ascii="Arial" w:cs="Arial" w:eastAsia="Arial" w:hAnsi="Arial"/>
          <w:b w:val="false"/>
          <w:bCs w:val="false"/>
          <w:i w:val="false"/>
          <w:iCs w:val="false"/>
          <w:color w:val="404040"/>
          <w:sz w:val="21"/>
          <w:szCs w:val="21"/>
        </w:rPr>
        <w:t xml:space="preserve">Before any formal disciplinary hearing is held, the matter shall be thoroughly investigated. The investigation is conducted solely for the purpose of fact-finding and gathering evidence. No disciplinary action shall be taken without a formal disciplinary hearing.</w:t>
      </w:r>
    </w:p>
    <w:p>
      <w:pPr>
        <w:pStyle w:val="ListParagraph"/>
        <w:numPr>
          <w:ilvl w:val="0"/>
          <w:numId w:val="2"/>
        </w:numPr>
        <w:spacing w:after="100"/>
      </w:pPr>
      <w:r>
        <w:rPr>
          <w:rFonts w:ascii="Arial" w:cs="Arial" w:eastAsia="Arial" w:hAnsi="Arial"/>
          <w:color w:val="404040"/>
          <w:sz w:val="21"/>
          <w:szCs w:val="21"/>
        </w:rPr>
        <w:t xml:space="preserve">The People team shall lead the investigation and may be supported by line management, Legal, or Compliance functions.</w:t>
      </w:r>
    </w:p>
    <w:p>
      <w:pPr>
        <w:pStyle w:val="ListParagraph"/>
        <w:numPr>
          <w:ilvl w:val="0"/>
          <w:numId w:val="2"/>
        </w:numPr>
        <w:spacing w:after="100"/>
      </w:pPr>
      <w:r>
        <w:rPr>
          <w:rFonts w:ascii="Arial" w:cs="Arial" w:eastAsia="Arial" w:hAnsi="Arial"/>
          <w:color w:val="404040"/>
          <w:sz w:val="21"/>
          <w:szCs w:val="21"/>
        </w:rPr>
        <w:t xml:space="preserve">The investigation shall be conducted promptly and objectively, and normally completed within 10 working days.</w:t>
      </w:r>
    </w:p>
    <w:p>
      <w:pPr>
        <w:pStyle w:val="ListParagraph"/>
        <w:numPr>
          <w:ilvl w:val="0"/>
          <w:numId w:val="2"/>
        </w:numPr>
        <w:spacing w:after="100"/>
      </w:pPr>
      <w:r>
        <w:rPr>
          <w:rFonts w:ascii="Arial" w:cs="Arial" w:eastAsia="Arial" w:hAnsi="Arial"/>
          <w:color w:val="404040"/>
          <w:sz w:val="21"/>
          <w:szCs w:val="21"/>
        </w:rPr>
        <w:t xml:space="preserve">The employee shall be informed that an investigation is underway and shall be given the opportunity to provide their account of events.</w:t>
      </w:r>
    </w:p>
    <w:p>
      <w:pPr>
        <w:pStyle w:val="ListParagraph"/>
        <w:numPr>
          <w:ilvl w:val="0"/>
          <w:numId w:val="2"/>
        </w:numPr>
        <w:spacing w:after="100"/>
      </w:pPr>
      <w:r>
        <w:rPr>
          <w:rFonts w:ascii="Arial" w:cs="Arial" w:eastAsia="Arial" w:hAnsi="Arial"/>
          <w:color w:val="404040"/>
          <w:sz w:val="21"/>
          <w:szCs w:val="21"/>
        </w:rPr>
        <w:t xml:space="preserve">Witness interviews shall be documented and factual findings recorded.</w:t>
      </w:r>
    </w:p>
    <w:p>
      <w:pPr>
        <w:pStyle w:val="Heading3"/>
        <w:spacing w:before="200" w:after="100"/>
      </w:pPr>
      <w:r>
        <w:rPr>
          <w:rFonts w:ascii="Arial" w:cs="Arial" w:eastAsia="Arial" w:hAnsi="Arial"/>
          <w:b/>
          <w:bCs/>
          <w:color w:val="404040"/>
          <w:sz w:val="23"/>
          <w:szCs w:val="23"/>
        </w:rPr>
        <w:t xml:space="preserve">6.1.1  Suspension During Investigation</w:t>
      </w:r>
    </w:p>
    <w:p>
      <w:pPr>
        <w:spacing w:after="160" w:before="0"/>
        <w:jc w:val="left"/>
      </w:pPr>
      <w:r>
        <w:rPr>
          <w:rFonts w:ascii="Arial" w:cs="Arial" w:eastAsia="Arial" w:hAnsi="Arial"/>
          <w:b w:val="false"/>
          <w:bCs w:val="false"/>
          <w:i w:val="false"/>
          <w:iCs w:val="false"/>
          <w:color w:val="404040"/>
          <w:sz w:val="21"/>
          <w:szCs w:val="21"/>
        </w:rPr>
        <w:t xml:space="preserve">In some cases of serious misconduct, the Organisation may suspend the employee from work during the investigation or disciplinary procedure (or both). Suspension is a precautionary measure and does not constitute disciplinary action. Suspension does not prejudge the outcome of the investigation.</w:t>
      </w:r>
    </w:p>
    <w:p>
      <w:pPr>
        <w:pStyle w:val="ListParagraph"/>
        <w:numPr>
          <w:ilvl w:val="0"/>
          <w:numId w:val="2"/>
        </w:numPr>
        <w:spacing w:after="100"/>
      </w:pPr>
      <w:r>
        <w:rPr>
          <w:rFonts w:ascii="Arial" w:cs="Arial" w:eastAsia="Arial" w:hAnsi="Arial"/>
          <w:color w:val="404040"/>
          <w:sz w:val="21"/>
          <w:szCs w:val="21"/>
        </w:rPr>
        <w:t xml:space="preserve">The employee shall receive written notice of suspension, the duration, and the conditions.</w:t>
      </w:r>
    </w:p>
    <w:p>
      <w:pPr>
        <w:pStyle w:val="ListParagraph"/>
        <w:numPr>
          <w:ilvl w:val="0"/>
          <w:numId w:val="2"/>
        </w:numPr>
        <w:spacing w:after="100"/>
      </w:pPr>
      <w:r>
        <w:rPr>
          <w:rFonts w:ascii="Arial" w:cs="Arial" w:eastAsia="Arial" w:hAnsi="Arial"/>
          <w:color w:val="404040"/>
          <w:sz w:val="21"/>
          <w:szCs w:val="21"/>
        </w:rPr>
        <w:t xml:space="preserve">During suspension, the employee shall not visit organisational premises, contact clients, suppliers, contractors, or staff without authorisation.</w:t>
      </w:r>
    </w:p>
    <w:p>
      <w:pPr>
        <w:pStyle w:val="ListParagraph"/>
        <w:numPr>
          <w:ilvl w:val="0"/>
          <w:numId w:val="2"/>
        </w:numPr>
        <w:spacing w:after="100"/>
      </w:pPr>
      <w:r>
        <w:rPr>
          <w:rFonts w:ascii="Arial" w:cs="Arial" w:eastAsia="Arial" w:hAnsi="Arial"/>
          <w:color w:val="404040"/>
          <w:sz w:val="21"/>
          <w:szCs w:val="21"/>
        </w:rPr>
        <w:t xml:space="preserve">The employee shall continue to receive salary and benefits during suspension unless otherwise prescribed by employment law.</w:t>
      </w:r>
    </w:p>
    <w:p>
      <w:pPr>
        <w:pStyle w:val="ListParagraph"/>
        <w:numPr>
          <w:ilvl w:val="0"/>
          <w:numId w:val="2"/>
        </w:numPr>
        <w:spacing w:after="100"/>
      </w:pPr>
      <w:r>
        <w:rPr>
          <w:rFonts w:ascii="Arial" w:cs="Arial" w:eastAsia="Arial" w:hAnsi="Arial"/>
          <w:color w:val="404040"/>
          <w:sz w:val="21"/>
          <w:szCs w:val="21"/>
        </w:rPr>
        <w:t xml:space="preserve">Suspension shall be reviewed periodically and lifted once the investigation is substantially complete or alternative arrangements are in place.</w:t>
      </w:r>
    </w:p>
    <w:p>
      <w:pPr>
        <w:pStyle w:val="Heading2"/>
        <w:spacing w:before="280" w:after="140"/>
      </w:pPr>
      <w:r>
        <w:rPr>
          <w:rFonts w:ascii="Arial" w:cs="Arial" w:eastAsia="Arial" w:hAnsi="Arial"/>
          <w:b/>
          <w:bCs/>
          <w:color w:val="3F7E54"/>
          <w:sz w:val="26"/>
          <w:szCs w:val="26"/>
        </w:rPr>
        <w:t xml:space="preserve">6.2  Disciplinary Hearing</w:t>
      </w:r>
    </w:p>
    <w:p>
      <w:pPr>
        <w:spacing w:after="160" w:before="0"/>
        <w:jc w:val="left"/>
      </w:pPr>
      <w:r>
        <w:rPr>
          <w:rFonts w:ascii="Arial" w:cs="Arial" w:eastAsia="Arial" w:hAnsi="Arial"/>
          <w:b w:val="false"/>
          <w:bCs w:val="false"/>
          <w:i w:val="false"/>
          <w:iCs w:val="false"/>
          <w:color w:val="404040"/>
          <w:sz w:val="21"/>
          <w:szCs w:val="21"/>
        </w:rPr>
        <w:t xml:space="preserve">A formal disciplinary hearing shall be held once the investigation has gathered sufficient evidence. The hearing is the opportunity for the employee to respond to allegations and for management to make a decision.</w:t>
      </w:r>
    </w:p>
    <w:p>
      <w:pPr>
        <w:pStyle w:val="Heading3"/>
        <w:spacing w:before="200" w:after="100"/>
      </w:pPr>
      <w:r>
        <w:rPr>
          <w:rFonts w:ascii="Arial" w:cs="Arial" w:eastAsia="Arial" w:hAnsi="Arial"/>
          <w:b/>
          <w:bCs/>
          <w:color w:val="404040"/>
          <w:sz w:val="23"/>
          <w:szCs w:val="23"/>
        </w:rPr>
        <w:t xml:space="preserve">6.2.1  Notice and Preparation</w:t>
      </w:r>
    </w:p>
    <w:p>
      <w:pPr>
        <w:pStyle w:val="ListParagraph"/>
        <w:numPr>
          <w:ilvl w:val="0"/>
          <w:numId w:val="2"/>
        </w:numPr>
        <w:spacing w:after="100"/>
      </w:pPr>
      <w:r>
        <w:rPr>
          <w:rFonts w:ascii="Arial" w:cs="Arial" w:eastAsia="Arial" w:hAnsi="Arial"/>
          <w:color w:val="404040"/>
          <w:sz w:val="21"/>
          <w:szCs w:val="21"/>
        </w:rPr>
        <w:t xml:space="preserve">The employee shall be given written notice of the hearing, normally at least 5 working days in advance.</w:t>
      </w:r>
    </w:p>
    <w:p>
      <w:pPr>
        <w:pStyle w:val="ListParagraph"/>
        <w:numPr>
          <w:ilvl w:val="0"/>
          <w:numId w:val="2"/>
        </w:numPr>
        <w:spacing w:after="100"/>
      </w:pPr>
      <w:r>
        <w:rPr>
          <w:rFonts w:ascii="Arial" w:cs="Arial" w:eastAsia="Arial" w:hAnsi="Arial"/>
          <w:color w:val="404040"/>
          <w:sz w:val="21"/>
          <w:szCs w:val="21"/>
        </w:rPr>
        <w:t xml:space="preserve">The notice shall include the allegations, a summary of the evidence, reference to the policy breached, and the potential consequences.</w:t>
      </w:r>
    </w:p>
    <w:p>
      <w:pPr>
        <w:pStyle w:val="ListParagraph"/>
        <w:numPr>
          <w:ilvl w:val="0"/>
          <w:numId w:val="2"/>
        </w:numPr>
        <w:spacing w:after="100"/>
      </w:pPr>
      <w:r>
        <w:rPr>
          <w:rFonts w:ascii="Arial" w:cs="Arial" w:eastAsia="Arial" w:hAnsi="Arial"/>
          <w:color w:val="404040"/>
          <w:sz w:val="21"/>
          <w:szCs w:val="21"/>
        </w:rPr>
        <w:t xml:space="preserve">The employee shall be given copies of all relevant documents, investigation findings, and witness statements (subject to any statutory exceptions).</w:t>
      </w:r>
    </w:p>
    <w:p>
      <w:pPr>
        <w:pStyle w:val="ListParagraph"/>
        <w:numPr>
          <w:ilvl w:val="0"/>
          <w:numId w:val="2"/>
        </w:numPr>
        <w:spacing w:after="100"/>
      </w:pPr>
      <w:r>
        <w:rPr>
          <w:rFonts w:ascii="Arial" w:cs="Arial" w:eastAsia="Arial" w:hAnsi="Arial"/>
          <w:color w:val="404040"/>
          <w:sz w:val="21"/>
          <w:szCs w:val="21"/>
        </w:rPr>
        <w:t xml:space="preserve">The employee may request additional time to prepare, witnesses to attend, or documents to be considered.</w:t>
      </w:r>
    </w:p>
    <w:p>
      <w:pPr>
        <w:pStyle w:val="Heading3"/>
        <w:spacing w:before="200" w:after="100"/>
      </w:pPr>
      <w:r>
        <w:rPr>
          <w:rFonts w:ascii="Arial" w:cs="Arial" w:eastAsia="Arial" w:hAnsi="Arial"/>
          <w:b/>
          <w:bCs/>
          <w:color w:val="404040"/>
          <w:sz w:val="23"/>
          <w:szCs w:val="23"/>
        </w:rPr>
        <w:t xml:space="preserve">6.2.2  Right to Representation</w:t>
      </w:r>
    </w:p>
    <w:p>
      <w:pPr>
        <w:pStyle w:val="ListParagraph"/>
        <w:numPr>
          <w:ilvl w:val="0"/>
          <w:numId w:val="2"/>
        </w:numPr>
        <w:spacing w:after="100"/>
      </w:pPr>
      <w:r>
        <w:rPr>
          <w:rFonts w:ascii="Arial" w:cs="Arial" w:eastAsia="Arial" w:hAnsi="Arial"/>
          <w:color w:val="404040"/>
          <w:sz w:val="21"/>
          <w:szCs w:val="21"/>
        </w:rPr>
        <w:t xml:space="preserve">The employee may be accompanied at the disciplinary hearing by a colleague of their choice.</w:t>
      </w:r>
    </w:p>
    <w:p>
      <w:pPr>
        <w:pStyle w:val="ListParagraph"/>
        <w:numPr>
          <w:ilvl w:val="0"/>
          <w:numId w:val="2"/>
        </w:numPr>
        <w:spacing w:after="100"/>
      </w:pPr>
      <w:r>
        <w:rPr>
          <w:rFonts w:ascii="Arial" w:cs="Arial" w:eastAsia="Arial" w:hAnsi="Arial"/>
          <w:color w:val="404040"/>
          <w:sz w:val="21"/>
          <w:szCs w:val="21"/>
        </w:rPr>
        <w:t xml:space="preserve">The companion shall be allowed reasonable paid time off to fulfil this role.</w:t>
      </w:r>
    </w:p>
    <w:p>
      <w:pPr>
        <w:pStyle w:val="ListParagraph"/>
        <w:numPr>
          <w:ilvl w:val="0"/>
          <w:numId w:val="2"/>
        </w:numPr>
        <w:spacing w:after="100"/>
      </w:pPr>
      <w:r>
        <w:rPr>
          <w:rFonts w:ascii="Arial" w:cs="Arial" w:eastAsia="Arial" w:hAnsi="Arial"/>
          <w:color w:val="404040"/>
          <w:sz w:val="21"/>
          <w:szCs w:val="21"/>
        </w:rPr>
        <w:t xml:space="preserve">The companion may offer support, clarify points, or answer questions on behalf of the employee, but may not conduct the hearing on the employee's behalf.</w:t>
      </w:r>
    </w:p>
    <w:p>
      <w:pPr>
        <w:pStyle w:val="Heading3"/>
        <w:spacing w:before="200" w:after="100"/>
      </w:pPr>
      <w:r>
        <w:rPr>
          <w:rFonts w:ascii="Arial" w:cs="Arial" w:eastAsia="Arial" w:hAnsi="Arial"/>
          <w:b/>
          <w:bCs/>
          <w:color w:val="404040"/>
          <w:sz w:val="23"/>
          <w:szCs w:val="23"/>
        </w:rPr>
        <w:t xml:space="preserve">6.2.3  Conduct of the Hearing</w:t>
      </w:r>
    </w:p>
    <w:p>
      <w:pPr>
        <w:pStyle w:val="ListParagraph"/>
        <w:numPr>
          <w:ilvl w:val="0"/>
          <w:numId w:val="2"/>
        </w:numPr>
        <w:spacing w:after="100"/>
      </w:pPr>
      <w:r>
        <w:rPr>
          <w:rFonts w:ascii="Arial" w:cs="Arial" w:eastAsia="Arial" w:hAnsi="Arial"/>
          <w:color w:val="404040"/>
          <w:sz w:val="21"/>
          <w:szCs w:val="21"/>
        </w:rPr>
        <w:t xml:space="preserve">The hearing shall be conducted by the Head of People and Talent or a senior manager delegated by them.</w:t>
      </w:r>
    </w:p>
    <w:p>
      <w:pPr>
        <w:pStyle w:val="ListParagraph"/>
        <w:numPr>
          <w:ilvl w:val="0"/>
          <w:numId w:val="2"/>
        </w:numPr>
        <w:spacing w:after="100"/>
      </w:pPr>
      <w:r>
        <w:rPr>
          <w:rFonts w:ascii="Arial" w:cs="Arial" w:eastAsia="Arial" w:hAnsi="Arial"/>
          <w:color w:val="404040"/>
          <w:sz w:val="21"/>
          <w:szCs w:val="21"/>
        </w:rPr>
        <w:t xml:space="preserve">The investigator may present findings and evidence; the employee may respond and challenge points.</w:t>
      </w:r>
    </w:p>
    <w:p>
      <w:pPr>
        <w:pStyle w:val="ListParagraph"/>
        <w:numPr>
          <w:ilvl w:val="0"/>
          <w:numId w:val="2"/>
        </w:numPr>
        <w:spacing w:after="100"/>
      </w:pPr>
      <w:r>
        <w:rPr>
          <w:rFonts w:ascii="Arial" w:cs="Arial" w:eastAsia="Arial" w:hAnsi="Arial"/>
          <w:color w:val="404040"/>
          <w:sz w:val="21"/>
          <w:szCs w:val="21"/>
        </w:rPr>
        <w:t xml:space="preserve">The hearing may be adjourned if further investigation is required.</w:t>
      </w:r>
    </w:p>
    <w:p>
      <w:pPr>
        <w:pStyle w:val="ListParagraph"/>
        <w:numPr>
          <w:ilvl w:val="0"/>
          <w:numId w:val="2"/>
        </w:numPr>
        <w:spacing w:after="100"/>
      </w:pPr>
      <w:r>
        <w:rPr>
          <w:rFonts w:ascii="Arial" w:cs="Arial" w:eastAsia="Arial" w:hAnsi="Arial"/>
          <w:color w:val="404040"/>
          <w:sz w:val="21"/>
          <w:szCs w:val="21"/>
        </w:rPr>
        <w:t xml:space="preserve">A representative from the People team shall be present to take minutes and provide procedural guidance.</w:t>
      </w:r>
    </w:p>
    <w:p>
      <w:pPr>
        <w:pStyle w:val="Heading3"/>
        <w:spacing w:before="200" w:after="100"/>
      </w:pPr>
      <w:r>
        <w:rPr>
          <w:rFonts w:ascii="Arial" w:cs="Arial" w:eastAsia="Arial" w:hAnsi="Arial"/>
          <w:b/>
          <w:bCs/>
          <w:color w:val="404040"/>
          <w:sz w:val="23"/>
          <w:szCs w:val="23"/>
        </w:rPr>
        <w:t xml:space="preserve">6.2.4  Decision and Notification</w:t>
      </w:r>
    </w:p>
    <w:p>
      <w:pPr>
        <w:pStyle w:val="ListParagraph"/>
        <w:numPr>
          <w:ilvl w:val="0"/>
          <w:numId w:val="2"/>
        </w:numPr>
        <w:spacing w:after="100"/>
      </w:pPr>
      <w:r>
        <w:rPr>
          <w:rFonts w:ascii="Arial" w:cs="Arial" w:eastAsia="Arial" w:hAnsi="Arial"/>
          <w:color w:val="404040"/>
          <w:sz w:val="21"/>
          <w:szCs w:val="21"/>
        </w:rPr>
        <w:t xml:space="preserve">The hearing panel shall consider all evidence carefully and may reach one of the following conclusions:</w:t>
      </w:r>
    </w:p>
    <w:p>
      <w:pPr>
        <w:pStyle w:val="ListParagraph"/>
        <w:numPr>
          <w:ilvl w:val="1"/>
          <w:numId w:val="2"/>
        </w:numPr>
        <w:spacing w:after="100"/>
      </w:pPr>
      <w:r>
        <w:rPr>
          <w:rFonts w:ascii="Arial" w:cs="Arial" w:eastAsia="Arial" w:hAnsi="Arial"/>
          <w:color w:val="404040"/>
          <w:sz w:val="21"/>
          <w:szCs w:val="21"/>
        </w:rPr>
        <w:t xml:space="preserve">Allegation not upheld - no action taken.</w:t>
      </w:r>
    </w:p>
    <w:p>
      <w:pPr>
        <w:pStyle w:val="ListParagraph"/>
        <w:numPr>
          <w:ilvl w:val="1"/>
          <w:numId w:val="2"/>
        </w:numPr>
        <w:spacing w:after="100"/>
      </w:pPr>
      <w:r>
        <w:rPr>
          <w:rFonts w:ascii="Arial" w:cs="Arial" w:eastAsia="Arial" w:hAnsi="Arial"/>
          <w:color w:val="404040"/>
          <w:sz w:val="21"/>
          <w:szCs w:val="21"/>
        </w:rPr>
        <w:t xml:space="preserve">Allegation partially upheld - action proportionate to the established facts.</w:t>
      </w:r>
    </w:p>
    <w:p>
      <w:pPr>
        <w:pStyle w:val="ListParagraph"/>
        <w:numPr>
          <w:ilvl w:val="1"/>
          <w:numId w:val="2"/>
        </w:numPr>
        <w:spacing w:after="100"/>
      </w:pPr>
      <w:r>
        <w:rPr>
          <w:rFonts w:ascii="Arial" w:cs="Arial" w:eastAsia="Arial" w:hAnsi="Arial"/>
          <w:color w:val="404040"/>
          <w:sz w:val="21"/>
          <w:szCs w:val="21"/>
        </w:rPr>
        <w:t xml:space="preserve">Allegation fully upheld - action proportionate to the misconduct or performance failure.</w:t>
      </w:r>
    </w:p>
    <w:p>
      <w:pPr>
        <w:pStyle w:val="ListParagraph"/>
        <w:numPr>
          <w:ilvl w:val="0"/>
          <w:numId w:val="2"/>
        </w:numPr>
        <w:spacing w:after="100"/>
      </w:pPr>
      <w:r>
        <w:rPr>
          <w:rFonts w:ascii="Arial" w:cs="Arial" w:eastAsia="Arial" w:hAnsi="Arial"/>
          <w:color w:val="404040"/>
          <w:sz w:val="21"/>
          <w:szCs w:val="21"/>
        </w:rPr>
        <w:t xml:space="preserve">The employee shall be informed orally of the outcome at the conclusion of the hearing, followed by written confirmation normally within 10 working days.</w:t>
      </w:r>
    </w:p>
    <w:p>
      <w:pPr>
        <w:pStyle w:val="ListParagraph"/>
        <w:numPr>
          <w:ilvl w:val="0"/>
          <w:numId w:val="2"/>
        </w:numPr>
        <w:spacing w:after="100"/>
      </w:pPr>
      <w:r>
        <w:rPr>
          <w:rFonts w:ascii="Arial" w:cs="Arial" w:eastAsia="Arial" w:hAnsi="Arial"/>
          <w:color w:val="404040"/>
          <w:sz w:val="21"/>
          <w:szCs w:val="21"/>
        </w:rPr>
        <w:t xml:space="preserve">The written decision shall set out the allegation, findings of fact, conclusion, disciplinary action imposed, and the right to appeal.</w:t>
      </w:r>
    </w:p>
    <w:p>
      <w:pPr>
        <w:pStyle w:val="Heading2"/>
        <w:spacing w:before="280" w:after="140"/>
      </w:pPr>
      <w:r>
        <w:rPr>
          <w:rFonts w:ascii="Arial" w:cs="Arial" w:eastAsia="Arial" w:hAnsi="Arial"/>
          <w:b/>
          <w:bCs/>
          <w:color w:val="3F7E54"/>
          <w:sz w:val="26"/>
          <w:szCs w:val="26"/>
        </w:rPr>
        <w:t xml:space="preserve">6.3  Categories of Misconduct and Disciplinary Stages</w:t>
      </w:r>
    </w:p>
    <w:p>
      <w:pPr>
        <w:spacing w:after="160" w:before="0"/>
        <w:jc w:val="left"/>
      </w:pPr>
      <w:r>
        <w:rPr>
          <w:rFonts w:ascii="Arial" w:cs="Arial" w:eastAsia="Arial" w:hAnsi="Arial"/>
          <w:b w:val="false"/>
          <w:bCs w:val="false"/>
          <w:i w:val="false"/>
          <w:iCs w:val="false"/>
          <w:color w:val="404040"/>
          <w:sz w:val="21"/>
          <w:szCs w:val="21"/>
        </w:rPr>
        <w:t xml:space="preserve">Disciplinary action shall be applied in stages, depending on the nature, frequency, and intensity of the misconduct or performance failure. The stages are listed below; however, the Organisation may start at a later stage if the initial conduct is serious.</w:t>
      </w:r>
    </w:p>
    <w:p>
      <w:pPr>
        <w:pStyle w:val="Heading3"/>
        <w:spacing w:before="200" w:after="100"/>
      </w:pPr>
      <w:r>
        <w:rPr>
          <w:rFonts w:ascii="Arial" w:cs="Arial" w:eastAsia="Arial" w:hAnsi="Arial"/>
          <w:b/>
          <w:bCs/>
          <w:color w:val="404040"/>
          <w:sz w:val="23"/>
          <w:szCs w:val="23"/>
        </w:rPr>
        <w:t xml:space="preserve">6.3.1  Minor Misconduct</w:t>
      </w:r>
    </w:p>
    <w:p>
      <w:pPr>
        <w:spacing w:after="160" w:before="0"/>
        <w:jc w:val="left"/>
      </w:pPr>
      <w:r>
        <w:rPr>
          <w:rFonts w:ascii="Arial" w:cs="Arial" w:eastAsia="Arial" w:hAnsi="Arial"/>
          <w:b w:val="false"/>
          <w:bCs w:val="false"/>
          <w:i w:val="false"/>
          <w:iCs w:val="false"/>
          <w:color w:val="404040"/>
          <w:sz w:val="21"/>
          <w:szCs w:val="21"/>
        </w:rPr>
        <w:t xml:space="preserve">Minor misconduct includes first-time breaches of policy, minor insubordination, or performance issues that do not materially affect operational delivery:</w:t>
      </w:r>
    </w:p>
    <w:p>
      <w:pPr>
        <w:pStyle w:val="ListParagraph"/>
        <w:numPr>
          <w:ilvl w:val="0"/>
          <w:numId w:val="2"/>
        </w:numPr>
        <w:spacing w:after="100"/>
      </w:pPr>
      <w:r>
        <w:rPr>
          <w:rFonts w:ascii="Arial" w:cs="Arial" w:eastAsia="Arial" w:hAnsi="Arial"/>
          <w:color w:val="404040"/>
          <w:sz w:val="21"/>
          <w:szCs w:val="21"/>
        </w:rPr>
        <w:t xml:space="preserve">Verbal warning - a formal documented conversation recorded in the personnel file, typically lasting 6 months.</w:t>
      </w:r>
    </w:p>
    <w:p>
      <w:pPr>
        <w:pStyle w:val="ListParagraph"/>
        <w:numPr>
          <w:ilvl w:val="0"/>
          <w:numId w:val="2"/>
        </w:numPr>
        <w:spacing w:after="100"/>
      </w:pPr>
      <w:r>
        <w:rPr>
          <w:rFonts w:ascii="Arial" w:cs="Arial" w:eastAsia="Arial" w:hAnsi="Arial"/>
          <w:color w:val="404040"/>
          <w:sz w:val="21"/>
          <w:szCs w:val="21"/>
        </w:rPr>
        <w:t xml:space="preserve">Corrective action - coaching, counselling, retraining, or mentoring agreed with the employee and monitored by the line manager.</w:t>
      </w:r>
    </w:p>
    <w:p>
      <w:pPr>
        <w:pStyle w:val="Heading3"/>
        <w:spacing w:before="200" w:after="100"/>
      </w:pPr>
      <w:r>
        <w:rPr>
          <w:rFonts w:ascii="Arial" w:cs="Arial" w:eastAsia="Arial" w:hAnsi="Arial"/>
          <w:b/>
          <w:bCs/>
          <w:color w:val="404040"/>
          <w:sz w:val="23"/>
          <w:szCs w:val="23"/>
        </w:rPr>
        <w:t xml:space="preserve">6.3.2  Moderate Misconduct</w:t>
      </w:r>
    </w:p>
    <w:p>
      <w:pPr>
        <w:spacing w:after="160" w:before="0"/>
        <w:jc w:val="left"/>
      </w:pPr>
      <w:r>
        <w:rPr>
          <w:rFonts w:ascii="Arial" w:cs="Arial" w:eastAsia="Arial" w:hAnsi="Arial"/>
          <w:b w:val="false"/>
          <w:bCs w:val="false"/>
          <w:i w:val="false"/>
          <w:iCs w:val="false"/>
          <w:color w:val="404040"/>
          <w:sz w:val="21"/>
          <w:szCs w:val="21"/>
        </w:rPr>
        <w:t xml:space="preserve">Moderate misconduct includes repeated minor offences, wilful breaches of policy, or inadequate performance affecting service delivery:</w:t>
      </w:r>
    </w:p>
    <w:p>
      <w:pPr>
        <w:pStyle w:val="ListParagraph"/>
        <w:numPr>
          <w:ilvl w:val="0"/>
          <w:numId w:val="2"/>
        </w:numPr>
        <w:spacing w:after="100"/>
      </w:pPr>
      <w:r>
        <w:rPr>
          <w:rFonts w:ascii="Arial" w:cs="Arial" w:eastAsia="Arial" w:hAnsi="Arial"/>
          <w:color w:val="404040"/>
          <w:sz w:val="21"/>
          <w:szCs w:val="21"/>
        </w:rPr>
        <w:t xml:space="preserve">Official written reprimand - a formal written notice documenting the breach, placed on the personnel file, typically lasting 12 months.</w:t>
      </w:r>
    </w:p>
    <w:p>
      <w:pPr>
        <w:pStyle w:val="ListParagraph"/>
        <w:numPr>
          <w:ilvl w:val="0"/>
          <w:numId w:val="2"/>
        </w:numPr>
        <w:spacing w:after="100"/>
      </w:pPr>
      <w:r>
        <w:rPr>
          <w:rFonts w:ascii="Arial" w:cs="Arial" w:eastAsia="Arial" w:hAnsi="Arial"/>
          <w:color w:val="404040"/>
          <w:sz w:val="21"/>
          <w:szCs w:val="21"/>
        </w:rPr>
        <w:t xml:space="preserve">Performance improvement plan - specific targets, deadlines, and support measures for performance-related matters, monitored over a defined period (typically 3-6 months).</w:t>
      </w:r>
    </w:p>
    <w:p>
      <w:pPr>
        <w:pStyle w:val="Heading3"/>
        <w:spacing w:before="200" w:after="100"/>
      </w:pPr>
      <w:r>
        <w:rPr>
          <w:rFonts w:ascii="Arial" w:cs="Arial" w:eastAsia="Arial" w:hAnsi="Arial"/>
          <w:b/>
          <w:bCs/>
          <w:color w:val="404040"/>
          <w:sz w:val="23"/>
          <w:szCs w:val="23"/>
        </w:rPr>
        <w:t xml:space="preserve">6.3.3  Serious Misconduct</w:t>
      </w:r>
    </w:p>
    <w:p>
      <w:pPr>
        <w:spacing w:after="160" w:before="0"/>
        <w:jc w:val="left"/>
      </w:pPr>
      <w:r>
        <w:rPr>
          <w:rFonts w:ascii="Arial" w:cs="Arial" w:eastAsia="Arial" w:hAnsi="Arial"/>
          <w:b w:val="false"/>
          <w:bCs w:val="false"/>
          <w:i w:val="false"/>
          <w:iCs w:val="false"/>
          <w:color w:val="404040"/>
          <w:sz w:val="21"/>
          <w:szCs w:val="21"/>
        </w:rPr>
        <w:t xml:space="preserve">Serious misconduct includes serious breaches of policy, repeated moderate misconduct, or serious performance failures jeopardising the Organisation:</w:t>
      </w:r>
    </w:p>
    <w:p>
      <w:pPr>
        <w:pStyle w:val="ListParagraph"/>
        <w:numPr>
          <w:ilvl w:val="0"/>
          <w:numId w:val="2"/>
        </w:numPr>
        <w:spacing w:after="100"/>
      </w:pPr>
      <w:r>
        <w:rPr>
          <w:rFonts w:ascii="Arial" w:cs="Arial" w:eastAsia="Arial" w:hAnsi="Arial"/>
          <w:color w:val="404040"/>
          <w:sz w:val="21"/>
          <w:szCs w:val="21"/>
        </w:rPr>
        <w:t xml:space="preserve">Final written warning - a serious notice stating that further misconduct within a defined period (typically 24 months) will result in dismissal or demotion.</w:t>
      </w:r>
    </w:p>
    <w:p>
      <w:pPr>
        <w:pStyle w:val="ListParagraph"/>
        <w:numPr>
          <w:ilvl w:val="0"/>
          <w:numId w:val="2"/>
        </w:numPr>
        <w:spacing w:after="100"/>
      </w:pPr>
      <w:r>
        <w:rPr>
          <w:rFonts w:ascii="Arial" w:cs="Arial" w:eastAsia="Arial" w:hAnsi="Arial"/>
          <w:color w:val="404040"/>
          <w:sz w:val="21"/>
          <w:szCs w:val="21"/>
        </w:rPr>
        <w:t xml:space="preserve">Suspension - temporary removal from duty, with or without pay, pending a final decision.</w:t>
      </w:r>
    </w:p>
    <w:p>
      <w:pPr>
        <w:pStyle w:val="ListParagraph"/>
        <w:numPr>
          <w:ilvl w:val="0"/>
          <w:numId w:val="2"/>
        </w:numPr>
        <w:spacing w:after="100"/>
      </w:pPr>
      <w:r>
        <w:rPr>
          <w:rFonts w:ascii="Arial" w:cs="Arial" w:eastAsia="Arial" w:hAnsi="Arial"/>
          <w:color w:val="404040"/>
          <w:sz w:val="21"/>
          <w:szCs w:val="21"/>
        </w:rPr>
        <w:t xml:space="preserve">Demotion - reassignment to a lower-level role, with appropriate salary adjustment.</w:t>
      </w:r>
    </w:p>
    <w:p>
      <w:pPr>
        <w:pStyle w:val="Heading3"/>
        <w:spacing w:before="200" w:after="100"/>
      </w:pPr>
      <w:r>
        <w:rPr>
          <w:rFonts w:ascii="Arial" w:cs="Arial" w:eastAsia="Arial" w:hAnsi="Arial"/>
          <w:b/>
          <w:bCs/>
          <w:color w:val="404040"/>
          <w:sz w:val="23"/>
          <w:szCs w:val="23"/>
        </w:rPr>
        <w:t xml:space="preserve">6.3.4  Gross Misconduct</w:t>
      </w:r>
    </w:p>
    <w:p>
      <w:pPr>
        <w:spacing w:after="160" w:before="0"/>
        <w:jc w:val="left"/>
      </w:pPr>
      <w:r>
        <w:rPr>
          <w:rFonts w:ascii="Arial" w:cs="Arial" w:eastAsia="Arial" w:hAnsi="Arial"/>
          <w:b w:val="false"/>
          <w:bCs w:val="false"/>
          <w:i w:val="false"/>
          <w:iCs w:val="false"/>
          <w:color w:val="404040"/>
          <w:sz w:val="21"/>
          <w:szCs w:val="21"/>
        </w:rPr>
        <w:t xml:space="preserve">Gross misconduct is conduct so serious that it fundamentally breaches the contract of employment and damages trust and confidence irreparably. Gross misconduct normally results in summary dismissal (termination without notice and without payment in lieu of notice), unless exceptional circumstances justify a lesser sanction.</w:t>
      </w:r>
    </w:p>
    <w:p>
      <w:pPr>
        <w:pStyle w:val="Heading2"/>
        <w:spacing w:before="280" w:after="140"/>
      </w:pPr>
      <w:r>
        <w:rPr>
          <w:rFonts w:ascii="Arial" w:cs="Arial" w:eastAsia="Arial" w:hAnsi="Arial"/>
          <w:b/>
          <w:bCs/>
          <w:color w:val="3F7E54"/>
          <w:sz w:val="26"/>
          <w:szCs w:val="26"/>
        </w:rPr>
        <w:t xml:space="preserve">6.4  Examples of Gross Misconduct</w:t>
      </w:r>
    </w:p>
    <w:p>
      <w:pPr>
        <w:spacing w:after="160" w:before="0"/>
        <w:jc w:val="left"/>
      </w:pPr>
      <w:r>
        <w:rPr>
          <w:rFonts w:ascii="Arial" w:cs="Arial" w:eastAsia="Arial" w:hAnsi="Arial"/>
          <w:b w:val="false"/>
          <w:bCs w:val="false"/>
          <w:i w:val="false"/>
          <w:iCs w:val="false"/>
          <w:color w:val="404040"/>
          <w:sz w:val="21"/>
          <w:szCs w:val="21"/>
        </w:rPr>
        <w:t xml:space="preserve">The following are examples of conduct normally regarded as gross misconduct (this list is non-exhaustive):</w:t>
      </w:r>
    </w:p>
    <w:p>
      <w:pPr>
        <w:pStyle w:val="ListParagraph"/>
        <w:numPr>
          <w:ilvl w:val="0"/>
          <w:numId w:val="2"/>
        </w:numPr>
        <w:spacing w:after="100"/>
      </w:pPr>
      <w:r>
        <w:rPr>
          <w:rFonts w:ascii="Arial" w:cs="Arial" w:eastAsia="Arial" w:hAnsi="Arial"/>
          <w:color w:val="404040"/>
          <w:sz w:val="21"/>
          <w:szCs w:val="21"/>
        </w:rPr>
        <w:t xml:space="preserve">Theft, fraud, embezzlement, or dishonesty of any kind.</w:t>
      </w:r>
    </w:p>
    <w:p>
      <w:pPr>
        <w:pStyle w:val="ListParagraph"/>
        <w:numPr>
          <w:ilvl w:val="0"/>
          <w:numId w:val="2"/>
        </w:numPr>
        <w:spacing w:after="100"/>
      </w:pPr>
      <w:r>
        <w:rPr>
          <w:rFonts w:ascii="Arial" w:cs="Arial" w:eastAsia="Arial" w:hAnsi="Arial"/>
          <w:color w:val="404040"/>
          <w:sz w:val="21"/>
          <w:szCs w:val="21"/>
        </w:rPr>
        <w:t xml:space="preserve">Physical violence, assault, threats, or intimidation directed at an employee, customer, or third party.</w:t>
      </w:r>
    </w:p>
    <w:p>
      <w:pPr>
        <w:pStyle w:val="ListParagraph"/>
        <w:numPr>
          <w:ilvl w:val="0"/>
          <w:numId w:val="2"/>
        </w:numPr>
        <w:spacing w:after="100"/>
      </w:pPr>
      <w:r>
        <w:rPr>
          <w:rFonts w:ascii="Arial" w:cs="Arial" w:eastAsia="Arial" w:hAnsi="Arial"/>
          <w:color w:val="404040"/>
          <w:sz w:val="21"/>
          <w:szCs w:val="21"/>
        </w:rPr>
        <w:t xml:space="preserve">Unlawful discrimination, victimisation, harassment, or bullying based on protected characteristics.</w:t>
      </w:r>
    </w:p>
    <w:p>
      <w:pPr>
        <w:pStyle w:val="ListParagraph"/>
        <w:numPr>
          <w:ilvl w:val="0"/>
          <w:numId w:val="2"/>
        </w:numPr>
        <w:spacing w:after="100"/>
      </w:pPr>
      <w:r>
        <w:rPr>
          <w:rFonts w:ascii="Arial" w:cs="Arial" w:eastAsia="Arial" w:hAnsi="Arial"/>
          <w:color w:val="404040"/>
          <w:sz w:val="21"/>
          <w:szCs w:val="21"/>
        </w:rPr>
        <w:t xml:space="preserve">Deliberate and serious damage to organisational property or assets.</w:t>
      </w:r>
    </w:p>
    <w:p>
      <w:pPr>
        <w:pStyle w:val="ListParagraph"/>
        <w:numPr>
          <w:ilvl w:val="0"/>
          <w:numId w:val="2"/>
        </w:numPr>
        <w:spacing w:after="100"/>
      </w:pPr>
      <w:r>
        <w:rPr>
          <w:rFonts w:ascii="Arial" w:cs="Arial" w:eastAsia="Arial" w:hAnsi="Arial"/>
          <w:color w:val="404040"/>
          <w:sz w:val="21"/>
          <w:szCs w:val="21"/>
        </w:rPr>
        <w:t xml:space="preserve">Serious misuse of the Organisation's name, reputation, or intellectual property.</w:t>
      </w:r>
    </w:p>
    <w:p>
      <w:pPr>
        <w:pStyle w:val="ListParagraph"/>
        <w:numPr>
          <w:ilvl w:val="0"/>
          <w:numId w:val="2"/>
        </w:numPr>
        <w:spacing w:after="100"/>
      </w:pPr>
      <w:r>
        <w:rPr>
          <w:rFonts w:ascii="Arial" w:cs="Arial" w:eastAsia="Arial" w:hAnsi="Arial"/>
          <w:color w:val="404040"/>
          <w:sz w:val="21"/>
          <w:szCs w:val="21"/>
        </w:rPr>
        <w:t xml:space="preserve">Deliberate breach of confidentiality or unauthorised disclosure of sensitive personal data or business information.</w:t>
      </w:r>
    </w:p>
    <w:p>
      <w:pPr>
        <w:pStyle w:val="ListParagraph"/>
        <w:numPr>
          <w:ilvl w:val="0"/>
          <w:numId w:val="2"/>
        </w:numPr>
        <w:spacing w:after="100"/>
      </w:pPr>
      <w:r>
        <w:rPr>
          <w:rFonts w:ascii="Arial" w:cs="Arial" w:eastAsia="Arial" w:hAnsi="Arial"/>
          <w:color w:val="404040"/>
          <w:sz w:val="21"/>
          <w:szCs w:val="21"/>
        </w:rPr>
        <w:t xml:space="preserve">Serious misuse of organisational equipment, particularly deliberate viewing of illegal or offensive material.</w:t>
      </w:r>
    </w:p>
    <w:p>
      <w:pPr>
        <w:pStyle w:val="ListParagraph"/>
        <w:numPr>
          <w:ilvl w:val="0"/>
          <w:numId w:val="2"/>
        </w:numPr>
        <w:spacing w:after="100"/>
      </w:pPr>
      <w:r>
        <w:rPr>
          <w:rFonts w:ascii="Arial" w:cs="Arial" w:eastAsia="Arial" w:hAnsi="Arial"/>
          <w:color w:val="404040"/>
          <w:sz w:val="21"/>
          <w:szCs w:val="21"/>
        </w:rPr>
        <w:t xml:space="preserve">Serious insubordination, defiance of authority, or refusal to follow lawful instructions.</w:t>
      </w:r>
    </w:p>
    <w:p>
      <w:pPr>
        <w:pStyle w:val="ListParagraph"/>
        <w:numPr>
          <w:ilvl w:val="0"/>
          <w:numId w:val="2"/>
        </w:numPr>
        <w:spacing w:after="100"/>
      </w:pPr>
      <w:r>
        <w:rPr>
          <w:rFonts w:ascii="Arial" w:cs="Arial" w:eastAsia="Arial" w:hAnsi="Arial"/>
          <w:color w:val="404040"/>
          <w:sz w:val="21"/>
          <w:szCs w:val="21"/>
        </w:rPr>
        <w:t xml:space="preserve">Bringing the Organisation into serious disrepute, whether conduct occurs during work or outside.</w:t>
      </w:r>
    </w:p>
    <w:p>
      <w:pPr>
        <w:pStyle w:val="ListParagraph"/>
        <w:numPr>
          <w:ilvl w:val="0"/>
          <w:numId w:val="2"/>
        </w:numPr>
        <w:spacing w:after="100"/>
      </w:pPr>
      <w:r>
        <w:rPr>
          <w:rFonts w:ascii="Arial" w:cs="Arial" w:eastAsia="Arial" w:hAnsi="Arial"/>
          <w:color w:val="404040"/>
          <w:sz w:val="21"/>
          <w:szCs w:val="21"/>
        </w:rPr>
        <w:t xml:space="preserve">Incapacity for work due to alcohol or illegal drug intoxication.</w:t>
      </w:r>
    </w:p>
    <w:p>
      <w:pPr>
        <w:pStyle w:val="ListParagraph"/>
        <w:numPr>
          <w:ilvl w:val="0"/>
          <w:numId w:val="2"/>
        </w:numPr>
        <w:spacing w:after="100"/>
      </w:pPr>
      <w:r>
        <w:rPr>
          <w:rFonts w:ascii="Arial" w:cs="Arial" w:eastAsia="Arial" w:hAnsi="Arial"/>
          <w:color w:val="404040"/>
          <w:sz w:val="21"/>
          <w:szCs w:val="21"/>
        </w:rPr>
        <w:t xml:space="preserve">Causing loss, damage, or injury to persons or property through gross negligence or recklessness.</w:t>
      </w:r>
    </w:p>
    <w:p>
      <w:pPr>
        <w:pStyle w:val="ListParagraph"/>
        <w:numPr>
          <w:ilvl w:val="0"/>
          <w:numId w:val="2"/>
        </w:numPr>
        <w:spacing w:after="100"/>
      </w:pPr>
      <w:r>
        <w:rPr>
          <w:rFonts w:ascii="Arial" w:cs="Arial" w:eastAsia="Arial" w:hAnsi="Arial"/>
          <w:color w:val="404040"/>
          <w:sz w:val="21"/>
          <w:szCs w:val="21"/>
        </w:rPr>
        <w:t xml:space="preserve">Serious breach of health and safety obligations.</w:t>
      </w:r>
    </w:p>
    <w:p>
      <w:pPr>
        <w:pStyle w:val="ListParagraph"/>
        <w:numPr>
          <w:ilvl w:val="0"/>
          <w:numId w:val="2"/>
        </w:numPr>
        <w:spacing w:after="100"/>
      </w:pPr>
      <w:r>
        <w:rPr>
          <w:rFonts w:ascii="Arial" w:cs="Arial" w:eastAsia="Arial" w:hAnsi="Arial"/>
          <w:color w:val="404040"/>
          <w:sz w:val="21"/>
          <w:szCs w:val="21"/>
        </w:rPr>
        <w:t xml:space="preserve">Deliberate and serious failure to comply with information security policies or data protection obligations.</w:t>
      </w:r>
    </w:p>
    <w:p>
      <w:pPr>
        <w:pStyle w:val="ListParagraph"/>
        <w:numPr>
          <w:ilvl w:val="0"/>
          <w:numId w:val="2"/>
        </w:numPr>
        <w:spacing w:after="100"/>
      </w:pPr>
      <w:r>
        <w:rPr>
          <w:rFonts w:ascii="Arial" w:cs="Arial" w:eastAsia="Arial" w:hAnsi="Arial"/>
          <w:color w:val="404040"/>
          <w:sz w:val="21"/>
          <w:szCs w:val="21"/>
        </w:rPr>
        <w:t xml:space="preserve">Falsification of records, qualifications, credentials, or timesheets.</w:t>
      </w:r>
    </w:p>
    <w:p>
      <w:pPr>
        <w:pStyle w:val="Heading1"/>
        <w:pBdr>
          <w:bottom w:val="single" w:color="3F7E54" w:sz="6" w:space="4"/>
        </w:pBdr>
        <w:spacing w:before="400" w:after="200"/>
      </w:pPr>
      <w:r>
        <w:rPr>
          <w:rFonts w:ascii="Arial" w:cs="Arial" w:eastAsia="Arial" w:hAnsi="Arial"/>
          <w:b/>
          <w:bCs/>
          <w:color w:val="4F6C52"/>
          <w:sz w:val="32"/>
          <w:szCs w:val="32"/>
        </w:rPr>
        <w:t xml:space="preserve">7.  Appeals</w:t>
      </w:r>
    </w:p>
    <w:p>
      <w:pPr>
        <w:spacing w:after="160" w:before="0"/>
        <w:jc w:val="left"/>
      </w:pPr>
      <w:r>
        <w:rPr>
          <w:rFonts w:ascii="Arial" w:cs="Arial" w:eastAsia="Arial" w:hAnsi="Arial"/>
          <w:b w:val="false"/>
          <w:bCs w:val="false"/>
          <w:i w:val="false"/>
          <w:iCs w:val="false"/>
          <w:color w:val="404040"/>
          <w:sz w:val="21"/>
          <w:szCs w:val="21"/>
        </w:rPr>
        <w:t xml:space="preserve">An employee has the right to appeal against any disciplinary decision (with the exception of informal resolution). The appeal process provides an opportunity for the decision to be reviewed by a more senior person who has not previously been involved in the matter.</w:t>
      </w:r>
    </w:p>
    <w:p>
      <w:pPr>
        <w:pStyle w:val="Heading2"/>
        <w:spacing w:before="280" w:after="140"/>
      </w:pPr>
      <w:r>
        <w:rPr>
          <w:rFonts w:ascii="Arial" w:cs="Arial" w:eastAsia="Arial" w:hAnsi="Arial"/>
          <w:b/>
          <w:bCs/>
          <w:color w:val="3F7E54"/>
          <w:sz w:val="26"/>
          <w:szCs w:val="26"/>
        </w:rPr>
        <w:t xml:space="preserve">7.1  Appeal Procedure</w:t>
      </w:r>
    </w:p>
    <w:p>
      <w:pPr>
        <w:pStyle w:val="ListParagraph"/>
        <w:numPr>
          <w:ilvl w:val="0"/>
          <w:numId w:val="2"/>
        </w:numPr>
        <w:spacing w:after="100"/>
      </w:pPr>
      <w:r>
        <w:rPr>
          <w:rFonts w:ascii="Arial" w:cs="Arial" w:eastAsia="Arial" w:hAnsi="Arial"/>
          <w:color w:val="404040"/>
          <w:sz w:val="21"/>
          <w:szCs w:val="21"/>
        </w:rPr>
        <w:t xml:space="preserve">The employee must lodge a written appeal within one week of receiving written notification of the disciplinary decision.</w:t>
      </w:r>
    </w:p>
    <w:p>
      <w:pPr>
        <w:pStyle w:val="ListParagraph"/>
        <w:numPr>
          <w:ilvl w:val="0"/>
          <w:numId w:val="2"/>
        </w:numPr>
        <w:spacing w:after="100"/>
      </w:pPr>
      <w:r>
        <w:rPr>
          <w:rFonts w:ascii="Arial" w:cs="Arial" w:eastAsia="Arial" w:hAnsi="Arial"/>
          <w:color w:val="404040"/>
          <w:sz w:val="21"/>
          <w:szCs w:val="21"/>
        </w:rPr>
        <w:t xml:space="preserve">The appeal must state the grounds on which the decision is challenged (e.g., factual error, procedural breach, disproportionate sanction).</w:t>
      </w:r>
    </w:p>
    <w:p>
      <w:pPr>
        <w:pStyle w:val="ListParagraph"/>
        <w:numPr>
          <w:ilvl w:val="0"/>
          <w:numId w:val="2"/>
        </w:numPr>
        <w:spacing w:after="100"/>
      </w:pPr>
      <w:r>
        <w:rPr>
          <w:rFonts w:ascii="Arial" w:cs="Arial" w:eastAsia="Arial" w:hAnsi="Arial"/>
          <w:color w:val="404040"/>
          <w:sz w:val="21"/>
          <w:szCs w:val="21"/>
        </w:rPr>
        <w:t xml:space="preserve">The appeal shall be directed to a person senior to the original decision-maker, or to the Head of People and Talent if the original decision was made by the Head of People and Talent.</w:t>
      </w:r>
    </w:p>
    <w:p>
      <w:pPr>
        <w:pStyle w:val="ListParagraph"/>
        <w:numPr>
          <w:ilvl w:val="0"/>
          <w:numId w:val="2"/>
        </w:numPr>
        <w:spacing w:after="100"/>
      </w:pPr>
      <w:r>
        <w:rPr>
          <w:rFonts w:ascii="Arial" w:cs="Arial" w:eastAsia="Arial" w:hAnsi="Arial"/>
          <w:color w:val="404040"/>
          <w:sz w:val="21"/>
          <w:szCs w:val="21"/>
        </w:rPr>
        <w:t xml:space="preserve">The appeal hearing shall normally be held within two weeks of receiving the appeal.</w:t>
      </w:r>
    </w:p>
    <w:p>
      <w:pPr>
        <w:pStyle w:val="ListParagraph"/>
        <w:numPr>
          <w:ilvl w:val="0"/>
          <w:numId w:val="2"/>
        </w:numPr>
        <w:spacing w:after="100"/>
      </w:pPr>
      <w:r>
        <w:rPr>
          <w:rFonts w:ascii="Arial" w:cs="Arial" w:eastAsia="Arial" w:hAnsi="Arial"/>
          <w:color w:val="404040"/>
          <w:sz w:val="21"/>
          <w:szCs w:val="21"/>
        </w:rPr>
        <w:t xml:space="preserve">The employee may bring a companion to the appeal hearing.</w:t>
      </w:r>
    </w:p>
    <w:p>
      <w:pPr>
        <w:pStyle w:val="ListParagraph"/>
        <w:numPr>
          <w:ilvl w:val="0"/>
          <w:numId w:val="2"/>
        </w:numPr>
        <w:spacing w:after="100"/>
      </w:pPr>
      <w:r>
        <w:rPr>
          <w:rFonts w:ascii="Arial" w:cs="Arial" w:eastAsia="Arial" w:hAnsi="Arial"/>
          <w:color w:val="404040"/>
          <w:sz w:val="21"/>
          <w:szCs w:val="21"/>
        </w:rPr>
        <w:t xml:space="preserve">The appeal panel shall consider the grounds of appeal, the evidence from the original hearing, and any new evidence adduced by the employee.</w:t>
      </w:r>
    </w:p>
    <w:p>
      <w:pPr>
        <w:pStyle w:val="ListParagraph"/>
        <w:numPr>
          <w:ilvl w:val="0"/>
          <w:numId w:val="2"/>
        </w:numPr>
        <w:spacing w:after="100"/>
      </w:pPr>
      <w:r>
        <w:rPr>
          <w:rFonts w:ascii="Arial" w:cs="Arial" w:eastAsia="Arial" w:hAnsi="Arial"/>
          <w:color w:val="404040"/>
          <w:sz w:val="21"/>
          <w:szCs w:val="21"/>
        </w:rPr>
        <w:t xml:space="preserve">The appeal decision shall be communicated in writing to the employee within one week of the hearing, normally with a final decision.</w:t>
      </w:r>
    </w:p>
    <w:p>
      <w:pPr>
        <w:pStyle w:val="ListParagraph"/>
        <w:numPr>
          <w:ilvl w:val="0"/>
          <w:numId w:val="2"/>
        </w:numPr>
        <w:spacing w:after="100"/>
      </w:pPr>
      <w:r>
        <w:rPr>
          <w:rFonts w:ascii="Arial" w:cs="Arial" w:eastAsia="Arial" w:hAnsi="Arial"/>
          <w:color w:val="404040"/>
          <w:sz w:val="21"/>
          <w:szCs w:val="21"/>
        </w:rPr>
        <w:t xml:space="preserve">There is normally no further right of appeal after the appeal hearing decision. Appeals to the GLRCC may be possible only in exceptional circumstances where a material procedural breach is demonstrated.</w:t>
      </w:r>
    </w:p>
    <w:p>
      <w:pPr>
        <w:pStyle w:val="Heading1"/>
        <w:pBdr>
          <w:bottom w:val="single" w:color="3F7E54" w:sz="6" w:space="4"/>
        </w:pBdr>
        <w:spacing w:before="400" w:after="200"/>
      </w:pPr>
      <w:r>
        <w:rPr>
          <w:rFonts w:ascii="Arial" w:cs="Arial" w:eastAsia="Arial" w:hAnsi="Arial"/>
          <w:b/>
          <w:bCs/>
          <w:color w:val="4F6C52"/>
          <w:sz w:val="32"/>
          <w:szCs w:val="32"/>
        </w:rPr>
        <w:t xml:space="preserve">8.  Disciplinary Records</w:t>
      </w:r>
    </w:p>
    <w:p>
      <w:pPr>
        <w:spacing w:after="160" w:before="0"/>
        <w:jc w:val="left"/>
      </w:pPr>
      <w:r>
        <w:rPr>
          <w:rFonts w:ascii="Arial" w:cs="Arial" w:eastAsia="Arial" w:hAnsi="Arial"/>
          <w:b w:val="false"/>
          <w:bCs w:val="false"/>
          <w:i w:val="false"/>
          <w:iCs w:val="false"/>
          <w:color w:val="404040"/>
          <w:sz w:val="21"/>
          <w:szCs w:val="21"/>
        </w:rPr>
        <w:t xml:space="preserve">The Organisation shall maintain accurate records of all disciplinary proceedings in accordance with legal and regulatory requirements.</w:t>
      </w:r>
    </w:p>
    <w:p>
      <w:pPr>
        <w:pStyle w:val="ListParagraph"/>
        <w:numPr>
          <w:ilvl w:val="0"/>
          <w:numId w:val="2"/>
        </w:numPr>
        <w:spacing w:after="100"/>
      </w:pPr>
      <w:r>
        <w:rPr>
          <w:rFonts w:ascii="Arial" w:cs="Arial" w:eastAsia="Arial" w:hAnsi="Arial"/>
          <w:color w:val="404040"/>
          <w:sz w:val="21"/>
          <w:szCs w:val="21"/>
        </w:rPr>
        <w:t xml:space="preserve">Records shall include the allegation, investigation findings, hearing notes, decision, and appeal outcome.</w:t>
      </w:r>
    </w:p>
    <w:p>
      <w:pPr>
        <w:pStyle w:val="ListParagraph"/>
        <w:numPr>
          <w:ilvl w:val="0"/>
          <w:numId w:val="2"/>
        </w:numPr>
        <w:spacing w:after="100"/>
      </w:pPr>
      <w:r>
        <w:rPr>
          <w:rFonts w:ascii="Arial" w:cs="Arial" w:eastAsia="Arial" w:hAnsi="Arial"/>
          <w:color w:val="404040"/>
          <w:sz w:val="21"/>
          <w:szCs w:val="21"/>
        </w:rPr>
        <w:t xml:space="preserve">Disciplinary records shall be kept confidential and disclosed only to those with a need to know.</w:t>
      </w:r>
    </w:p>
    <w:p>
      <w:pPr>
        <w:pStyle w:val="ListParagraph"/>
        <w:numPr>
          <w:ilvl w:val="0"/>
          <w:numId w:val="2"/>
        </w:numPr>
        <w:spacing w:after="100"/>
      </w:pPr>
      <w:r>
        <w:rPr>
          <w:rFonts w:ascii="Arial" w:cs="Arial" w:eastAsia="Arial" w:hAnsi="Arial"/>
          <w:color w:val="404040"/>
          <w:sz w:val="21"/>
          <w:szCs w:val="21"/>
        </w:rPr>
        <w:t xml:space="preserve">Employees shall have the right to access their disciplinary records in accordance with data protection law.</w:t>
      </w:r>
    </w:p>
    <w:p>
      <w:pPr>
        <w:pStyle w:val="ListParagraph"/>
        <w:numPr>
          <w:ilvl w:val="0"/>
          <w:numId w:val="2"/>
        </w:numPr>
        <w:spacing w:after="100"/>
      </w:pPr>
      <w:r>
        <w:rPr>
          <w:rFonts w:ascii="Arial" w:cs="Arial" w:eastAsia="Arial" w:hAnsi="Arial"/>
          <w:color w:val="404040"/>
          <w:sz w:val="21"/>
          <w:szCs w:val="21"/>
        </w:rPr>
        <w:t xml:space="preserve">Verbal and written warnings shall be removed from the employee's active personnel file after a defined period (typically 6-24 months), unless further misconduct occurs within that period.</w:t>
      </w:r>
    </w:p>
    <w:p>
      <w:pPr>
        <w:pStyle w:val="ListParagraph"/>
        <w:numPr>
          <w:ilvl w:val="0"/>
          <w:numId w:val="2"/>
        </w:numPr>
        <w:spacing w:after="100"/>
      </w:pPr>
      <w:r>
        <w:rPr>
          <w:rFonts w:ascii="Arial" w:cs="Arial" w:eastAsia="Arial" w:hAnsi="Arial"/>
          <w:color w:val="404040"/>
          <w:sz w:val="21"/>
          <w:szCs w:val="21"/>
        </w:rPr>
        <w:t xml:space="preserve">Records related to gross misconduct shall be retained for the duration of the employment and for a minimum of 5 years thereafter, in accordance with legal retention requirements.</w:t>
      </w:r>
    </w:p>
    <w:p>
      <w:pPr>
        <w:pStyle w:val="Heading1"/>
        <w:pBdr>
          <w:bottom w:val="single" w:color="3F7E54" w:sz="6" w:space="4"/>
        </w:pBdr>
        <w:spacing w:before="400" w:after="200"/>
      </w:pPr>
      <w:r>
        <w:rPr>
          <w:rFonts w:ascii="Arial" w:cs="Arial" w:eastAsia="Arial" w:hAnsi="Arial"/>
          <w:b/>
          <w:bCs/>
          <w:color w:val="4F6C52"/>
          <w:sz w:val="32"/>
          <w:szCs w:val="32"/>
        </w:rPr>
        <w:t xml:space="preserve">5.  Roles and Responsibilities</w:t>
      </w:r>
    </w:p>
    <w:p>
      <w:pPr>
        <w:spacing w:before="240" w:after="80"/>
      </w:pPr>
      <w:r>
        <w:rPr>
          <w:rFonts w:ascii="Arial" w:cs="Arial" w:eastAsia="Arial" w:hAnsi="Arial"/>
          <w:b/>
          <w:bCs/>
          <w:color w:val="3A624E"/>
          <w:sz w:val="24"/>
          <w:szCs w:val="24"/>
          <w:u w:val="single" w:color="3A624E"/>
        </w:rPr>
        <w:t xml:space="preserve">Head of People and Talent</w:t>
      </w:r>
    </w:p>
    <w:p>
      <w:pPr>
        <w:pStyle w:val="ListParagraph"/>
        <w:numPr>
          <w:ilvl w:val="0"/>
          <w:numId w:val="2"/>
        </w:numPr>
        <w:spacing w:after="100"/>
      </w:pPr>
      <w:r>
        <w:rPr>
          <w:rFonts w:ascii="Arial" w:cs="Arial" w:eastAsia="Arial" w:hAnsi="Arial"/>
          <w:color w:val="404040"/>
          <w:sz w:val="21"/>
          <w:szCs w:val="21"/>
        </w:rPr>
        <w:t xml:space="preserve">Own, maintain, and update this Policy in line with evolving regulatory requirements and organisational needs.</w:t>
      </w:r>
    </w:p>
    <w:p>
      <w:pPr>
        <w:pStyle w:val="ListParagraph"/>
        <w:numPr>
          <w:ilvl w:val="0"/>
          <w:numId w:val="2"/>
        </w:numPr>
        <w:spacing w:after="100"/>
      </w:pPr>
      <w:r>
        <w:rPr>
          <w:rFonts w:ascii="Arial" w:cs="Arial" w:eastAsia="Arial" w:hAnsi="Arial"/>
          <w:color w:val="404040"/>
          <w:sz w:val="21"/>
          <w:szCs w:val="21"/>
        </w:rPr>
        <w:t xml:space="preserve">Approve major disciplinary decisions and oversee the consistency and fairness of disciplinary actions across the Organisation.</w:t>
      </w:r>
    </w:p>
    <w:p>
      <w:pPr>
        <w:pStyle w:val="ListParagraph"/>
        <w:numPr>
          <w:ilvl w:val="0"/>
          <w:numId w:val="2"/>
        </w:numPr>
        <w:spacing w:after="100"/>
      </w:pPr>
      <w:r>
        <w:rPr>
          <w:rFonts w:ascii="Arial" w:cs="Arial" w:eastAsia="Arial" w:hAnsi="Arial"/>
          <w:color w:val="404040"/>
          <w:sz w:val="21"/>
          <w:szCs w:val="21"/>
        </w:rPr>
        <w:t xml:space="preserve">Review and approve suspension decisions and investigation protocols.</w:t>
      </w:r>
    </w:p>
    <w:p>
      <w:pPr>
        <w:pStyle w:val="ListParagraph"/>
        <w:numPr>
          <w:ilvl w:val="0"/>
          <w:numId w:val="2"/>
        </w:numPr>
        <w:spacing w:after="100"/>
      </w:pPr>
      <w:r>
        <w:rPr>
          <w:rFonts w:ascii="Arial" w:cs="Arial" w:eastAsia="Arial" w:hAnsi="Arial"/>
          <w:color w:val="404040"/>
          <w:sz w:val="21"/>
          <w:szCs w:val="21"/>
        </w:rPr>
        <w:t xml:space="preserve">Ensure all Personnel are trained on this Policy and understand their obligations.</w:t>
      </w:r>
    </w:p>
    <w:p>
      <w:pPr>
        <w:spacing w:before="240" w:after="80"/>
      </w:pPr>
      <w:r>
        <w:rPr>
          <w:rFonts w:ascii="Arial" w:cs="Arial" w:eastAsia="Arial" w:hAnsi="Arial"/>
          <w:b/>
          <w:bCs/>
          <w:color w:val="3A624E"/>
          <w:sz w:val="24"/>
          <w:szCs w:val="24"/>
          <w:u w:val="single" w:color="3A624E"/>
        </w:rPr>
        <w:t xml:space="preserve">General, Legal, and Regulatory Compliance Committee (GLRCC)</w:t>
      </w:r>
    </w:p>
    <w:p>
      <w:pPr>
        <w:pStyle w:val="ListParagraph"/>
        <w:numPr>
          <w:ilvl w:val="0"/>
          <w:numId w:val="2"/>
        </w:numPr>
        <w:spacing w:after="100"/>
      </w:pPr>
      <w:r>
        <w:rPr>
          <w:rFonts w:ascii="Arial" w:cs="Arial" w:eastAsia="Arial" w:hAnsi="Arial"/>
          <w:color w:val="404040"/>
          <w:sz w:val="21"/>
          <w:szCs w:val="21"/>
        </w:rPr>
        <w:t xml:space="preserve">Provide strategic oversight of the disciplinary function and escalated cases.</w:t>
      </w:r>
    </w:p>
    <w:p>
      <w:pPr>
        <w:pStyle w:val="ListParagraph"/>
        <w:numPr>
          <w:ilvl w:val="0"/>
          <w:numId w:val="2"/>
        </w:numPr>
        <w:spacing w:after="100"/>
      </w:pPr>
      <w:r>
        <w:rPr>
          <w:rFonts w:ascii="Arial" w:cs="Arial" w:eastAsia="Arial" w:hAnsi="Arial"/>
          <w:color w:val="404040"/>
          <w:sz w:val="21"/>
          <w:szCs w:val="21"/>
        </w:rPr>
        <w:t xml:space="preserve">Review material disciplinary decisions for consistency with policy and regulatory compliance.</w:t>
      </w:r>
    </w:p>
    <w:p>
      <w:pPr>
        <w:pStyle w:val="ListParagraph"/>
        <w:numPr>
          <w:ilvl w:val="0"/>
          <w:numId w:val="2"/>
        </w:numPr>
        <w:spacing w:after="100"/>
      </w:pPr>
      <w:r>
        <w:rPr>
          <w:rFonts w:ascii="Arial" w:cs="Arial" w:eastAsia="Arial" w:hAnsi="Arial"/>
          <w:color w:val="404040"/>
          <w:sz w:val="21"/>
          <w:szCs w:val="21"/>
        </w:rPr>
        <w:t xml:space="preserve">Approve policy amendments and ensure alignment with evolving KSA Labour Law and CBUAE requirements.</w:t>
      </w:r>
    </w:p>
    <w:p>
      <w:pPr>
        <w:spacing w:before="240" w:after="80"/>
      </w:pPr>
      <w:r>
        <w:rPr>
          <w:rFonts w:ascii="Arial" w:cs="Arial" w:eastAsia="Arial" w:hAnsi="Arial"/>
          <w:b/>
          <w:bCs/>
          <w:color w:val="3A624E"/>
          <w:sz w:val="24"/>
          <w:szCs w:val="24"/>
          <w:u w:val="single" w:color="3A624E"/>
        </w:rPr>
        <w:t xml:space="preserve">People Team</w:t>
      </w:r>
    </w:p>
    <w:p>
      <w:pPr>
        <w:pStyle w:val="ListParagraph"/>
        <w:numPr>
          <w:ilvl w:val="0"/>
          <w:numId w:val="2"/>
        </w:numPr>
        <w:spacing w:after="100"/>
      </w:pPr>
      <w:r>
        <w:rPr>
          <w:rFonts w:ascii="Arial" w:cs="Arial" w:eastAsia="Arial" w:hAnsi="Arial"/>
          <w:color w:val="404040"/>
          <w:sz w:val="21"/>
          <w:szCs w:val="21"/>
        </w:rPr>
        <w:t xml:space="preserve">Conduct preliminary investigations and gather relevant evidence.</w:t>
      </w:r>
    </w:p>
    <w:p>
      <w:pPr>
        <w:pStyle w:val="ListParagraph"/>
        <w:numPr>
          <w:ilvl w:val="0"/>
          <w:numId w:val="2"/>
        </w:numPr>
        <w:spacing w:after="100"/>
      </w:pPr>
      <w:r>
        <w:rPr>
          <w:rFonts w:ascii="Arial" w:cs="Arial" w:eastAsia="Arial" w:hAnsi="Arial"/>
          <w:color w:val="404040"/>
          <w:sz w:val="21"/>
          <w:szCs w:val="21"/>
        </w:rPr>
        <w:t xml:space="preserve">Prepare disciplinary meeting agendas, documentation, and witness statements.</w:t>
      </w:r>
    </w:p>
    <w:p>
      <w:pPr>
        <w:pStyle w:val="ListParagraph"/>
        <w:numPr>
          <w:ilvl w:val="0"/>
          <w:numId w:val="2"/>
        </w:numPr>
        <w:spacing w:after="100"/>
      </w:pPr>
      <w:r>
        <w:rPr>
          <w:rFonts w:ascii="Arial" w:cs="Arial" w:eastAsia="Arial" w:hAnsi="Arial"/>
          <w:color w:val="404040"/>
          <w:sz w:val="21"/>
          <w:szCs w:val="21"/>
        </w:rPr>
        <w:t xml:space="preserve">Ensure procedural fairness and adherence to this Policy at each stage.</w:t>
      </w:r>
    </w:p>
    <w:p>
      <w:pPr>
        <w:pStyle w:val="ListParagraph"/>
        <w:numPr>
          <w:ilvl w:val="0"/>
          <w:numId w:val="2"/>
        </w:numPr>
        <w:spacing w:after="100"/>
      </w:pPr>
      <w:r>
        <w:rPr>
          <w:rFonts w:ascii="Arial" w:cs="Arial" w:eastAsia="Arial" w:hAnsi="Arial"/>
          <w:color w:val="404040"/>
          <w:sz w:val="21"/>
          <w:szCs w:val="21"/>
        </w:rPr>
        <w:t xml:space="preserve">Communicate decisions to affected employees and maintain disciplinary records.</w:t>
      </w:r>
    </w:p>
    <w:p>
      <w:pPr>
        <w:pStyle w:val="ListParagraph"/>
        <w:numPr>
          <w:ilvl w:val="0"/>
          <w:numId w:val="2"/>
        </w:numPr>
        <w:spacing w:after="100"/>
      </w:pPr>
      <w:r>
        <w:rPr>
          <w:rFonts w:ascii="Arial" w:cs="Arial" w:eastAsia="Arial" w:hAnsi="Arial"/>
          <w:color w:val="404040"/>
          <w:sz w:val="21"/>
          <w:szCs w:val="21"/>
        </w:rPr>
        <w:t xml:space="preserve">Provide guidance to line managers on procedure compliance.</w:t>
      </w:r>
    </w:p>
    <w:p>
      <w:pPr>
        <w:spacing w:before="240" w:after="80"/>
      </w:pPr>
      <w:r>
        <w:rPr>
          <w:rFonts w:ascii="Arial" w:cs="Arial" w:eastAsia="Arial" w:hAnsi="Arial"/>
          <w:b/>
          <w:bCs/>
          <w:color w:val="3A624E"/>
          <w:sz w:val="24"/>
          <w:szCs w:val="24"/>
          <w:u w:val="single" w:color="3A624E"/>
        </w:rPr>
        <w:t xml:space="preserve">Line Management</w:t>
      </w:r>
    </w:p>
    <w:p>
      <w:pPr>
        <w:pStyle w:val="ListParagraph"/>
        <w:numPr>
          <w:ilvl w:val="0"/>
          <w:numId w:val="2"/>
        </w:numPr>
        <w:spacing w:after="100"/>
      </w:pPr>
      <w:r>
        <w:rPr>
          <w:rFonts w:ascii="Arial" w:cs="Arial" w:eastAsia="Arial" w:hAnsi="Arial"/>
          <w:color w:val="404040"/>
          <w:sz w:val="21"/>
          <w:szCs w:val="21"/>
        </w:rPr>
        <w:t xml:space="preserve">Identify and report suspected misconduct or performance issues to the People team immediately.</w:t>
      </w:r>
    </w:p>
    <w:p>
      <w:pPr>
        <w:pStyle w:val="ListParagraph"/>
        <w:numPr>
          <w:ilvl w:val="0"/>
          <w:numId w:val="2"/>
        </w:numPr>
        <w:spacing w:after="100"/>
      </w:pPr>
      <w:r>
        <w:rPr>
          <w:rFonts w:ascii="Arial" w:cs="Arial" w:eastAsia="Arial" w:hAnsi="Arial"/>
          <w:color w:val="404040"/>
          <w:sz w:val="21"/>
          <w:szCs w:val="21"/>
        </w:rPr>
        <w:t xml:space="preserve">Participate in investigations by providing context and relevant information.</w:t>
      </w:r>
    </w:p>
    <w:p>
      <w:pPr>
        <w:pStyle w:val="ListParagraph"/>
        <w:numPr>
          <w:ilvl w:val="0"/>
          <w:numId w:val="2"/>
        </w:numPr>
        <w:spacing w:after="100"/>
      </w:pPr>
      <w:r>
        <w:rPr>
          <w:rFonts w:ascii="Arial" w:cs="Arial" w:eastAsia="Arial" w:hAnsi="Arial"/>
          <w:color w:val="404040"/>
          <w:sz w:val="21"/>
          <w:szCs w:val="21"/>
        </w:rPr>
        <w:t xml:space="preserve">Document informal resolution attempts and communicate expectations clearly to employees.</w:t>
      </w:r>
    </w:p>
    <w:p>
      <w:pPr>
        <w:pStyle w:val="ListParagraph"/>
        <w:numPr>
          <w:ilvl w:val="0"/>
          <w:numId w:val="2"/>
        </w:numPr>
        <w:spacing w:after="100"/>
      </w:pPr>
      <w:r>
        <w:rPr>
          <w:rFonts w:ascii="Arial" w:cs="Arial" w:eastAsia="Arial" w:hAnsi="Arial"/>
          <w:color w:val="404040"/>
          <w:sz w:val="21"/>
          <w:szCs w:val="21"/>
        </w:rPr>
        <w:t xml:space="preserve">Implement and monitor agreed corrective actions and performance improvement plans.</w:t>
      </w:r>
    </w:p>
    <w:p>
      <w:pPr>
        <w:pStyle w:val="ListParagraph"/>
        <w:numPr>
          <w:ilvl w:val="0"/>
          <w:numId w:val="2"/>
        </w:numPr>
        <w:spacing w:after="100"/>
      </w:pPr>
      <w:r>
        <w:rPr>
          <w:rFonts w:ascii="Arial" w:cs="Arial" w:eastAsia="Arial" w:hAnsi="Arial"/>
          <w:color w:val="404040"/>
          <w:sz w:val="21"/>
          <w:szCs w:val="21"/>
        </w:rPr>
        <w:t xml:space="preserve">Escalate matters beyond scope to the People team or Head of People and Talent.</w:t>
      </w:r>
    </w:p>
    <w:p>
      <w:pPr>
        <w:spacing w:before="240" w:after="80"/>
      </w:pPr>
      <w:r>
        <w:rPr>
          <w:rFonts w:ascii="Arial" w:cs="Arial" w:eastAsia="Arial" w:hAnsi="Arial"/>
          <w:b/>
          <w:bCs/>
          <w:color w:val="3A624E"/>
          <w:sz w:val="24"/>
          <w:szCs w:val="24"/>
          <w:u w:val="single" w:color="3A624E"/>
        </w:rPr>
        <w:t xml:space="preserve">All Employees</w:t>
      </w:r>
    </w:p>
    <w:p>
      <w:pPr>
        <w:pStyle w:val="ListParagraph"/>
        <w:numPr>
          <w:ilvl w:val="0"/>
          <w:numId w:val="2"/>
        </w:numPr>
        <w:spacing w:after="100"/>
      </w:pPr>
      <w:r>
        <w:rPr>
          <w:rFonts w:ascii="Arial" w:cs="Arial" w:eastAsia="Arial" w:hAnsi="Arial"/>
          <w:color w:val="404040"/>
          <w:sz w:val="21"/>
          <w:szCs w:val="21"/>
        </w:rPr>
        <w:t xml:space="preserve">Familiarise themselves with this Policy and the Organisation's Code of Conduct.</w:t>
      </w:r>
    </w:p>
    <w:p>
      <w:pPr>
        <w:pStyle w:val="ListParagraph"/>
        <w:numPr>
          <w:ilvl w:val="0"/>
          <w:numId w:val="2"/>
        </w:numPr>
        <w:spacing w:after="100"/>
      </w:pPr>
      <w:r>
        <w:rPr>
          <w:rFonts w:ascii="Arial" w:cs="Arial" w:eastAsia="Arial" w:hAnsi="Arial"/>
          <w:color w:val="404040"/>
          <w:sz w:val="21"/>
          <w:szCs w:val="21"/>
        </w:rPr>
        <w:t xml:space="preserve">Comply with all organisational policies and contractual obligations.</w:t>
      </w:r>
    </w:p>
    <w:p>
      <w:pPr>
        <w:pStyle w:val="ListParagraph"/>
        <w:numPr>
          <w:ilvl w:val="0"/>
          <w:numId w:val="2"/>
        </w:numPr>
        <w:spacing w:after="100"/>
      </w:pPr>
      <w:r>
        <w:rPr>
          <w:rFonts w:ascii="Arial" w:cs="Arial" w:eastAsia="Arial" w:hAnsi="Arial"/>
          <w:color w:val="404040"/>
          <w:sz w:val="21"/>
          <w:szCs w:val="21"/>
        </w:rPr>
        <w:t xml:space="preserve">Cooperate fully with investigations and disciplinary proceedings.</w:t>
      </w:r>
    </w:p>
    <w:p>
      <w:pPr>
        <w:pStyle w:val="ListParagraph"/>
        <w:numPr>
          <w:ilvl w:val="0"/>
          <w:numId w:val="2"/>
        </w:numPr>
        <w:spacing w:after="100"/>
      </w:pPr>
      <w:r>
        <w:rPr>
          <w:rFonts w:ascii="Arial" w:cs="Arial" w:eastAsia="Arial" w:hAnsi="Arial"/>
          <w:color w:val="404040"/>
          <w:sz w:val="21"/>
          <w:szCs w:val="21"/>
        </w:rPr>
        <w:t xml:space="preserve">Notify their line manager or the People team of any conduct or performance concerns they are aware of.</w:t>
      </w:r>
    </w:p>
    <w:p>
      <w:pPr>
        <w:pStyle w:val="ListParagraph"/>
        <w:numPr>
          <w:ilvl w:val="0"/>
          <w:numId w:val="2"/>
        </w:numPr>
        <w:spacing w:after="100"/>
      </w:pPr>
      <w:r>
        <w:rPr>
          <w:rFonts w:ascii="Arial" w:cs="Arial" w:eastAsia="Arial" w:hAnsi="Arial"/>
          <w:color w:val="404040"/>
          <w:sz w:val="21"/>
          <w:szCs w:val="21"/>
        </w:rPr>
        <w:t xml:space="preserve">Exercise their right to be accompanied by a colleague at any disciplinary meeting.</w:t>
      </w:r>
    </w:p>
    <w:p>
      <w:pPr>
        <w:spacing w:before="240" w:after="80"/>
      </w:pPr>
      <w:r>
        <w:rPr>
          <w:rFonts w:ascii="Arial" w:cs="Arial" w:eastAsia="Arial" w:hAnsi="Arial"/>
          <w:b/>
          <w:bCs/>
          <w:color w:val="3A624E"/>
          <w:sz w:val="24"/>
          <w:szCs w:val="24"/>
          <w:u w:val="single" w:color="3A624E"/>
        </w:rPr>
        <w:t xml:space="preserve">Internal Audit and Compliance</w:t>
      </w:r>
    </w:p>
    <w:p>
      <w:pPr>
        <w:pStyle w:val="ListParagraph"/>
        <w:numPr>
          <w:ilvl w:val="0"/>
          <w:numId w:val="2"/>
        </w:numPr>
        <w:spacing w:after="100"/>
      </w:pPr>
      <w:r>
        <w:rPr>
          <w:rFonts w:ascii="Arial" w:cs="Arial" w:eastAsia="Arial" w:hAnsi="Arial"/>
          <w:color w:val="404040"/>
          <w:sz w:val="21"/>
          <w:szCs w:val="21"/>
        </w:rPr>
        <w:t xml:space="preserve">Independently review the effectiveness and fairness of the disciplinary process.</w:t>
      </w:r>
    </w:p>
    <w:p>
      <w:pPr>
        <w:pStyle w:val="ListParagraph"/>
        <w:numPr>
          <w:ilvl w:val="0"/>
          <w:numId w:val="2"/>
        </w:numPr>
        <w:spacing w:after="100"/>
      </w:pPr>
      <w:r>
        <w:rPr>
          <w:rFonts w:ascii="Arial" w:cs="Arial" w:eastAsia="Arial" w:hAnsi="Arial"/>
          <w:color w:val="404040"/>
          <w:sz w:val="21"/>
          <w:szCs w:val="21"/>
        </w:rPr>
        <w:t xml:space="preserve">Audit a sample of disciplinary cases to ensure procedural compliance.</w:t>
      </w:r>
    </w:p>
    <w:p>
      <w:pPr>
        <w:pStyle w:val="ListParagraph"/>
        <w:numPr>
          <w:ilvl w:val="0"/>
          <w:numId w:val="2"/>
        </w:numPr>
        <w:spacing w:after="100"/>
      </w:pPr>
      <w:r>
        <w:rPr>
          <w:rFonts w:ascii="Arial" w:cs="Arial" w:eastAsia="Arial" w:hAnsi="Arial"/>
          <w:color w:val="404040"/>
          <w:sz w:val="21"/>
          <w:szCs w:val="21"/>
        </w:rPr>
        <w:t xml:space="preserve">Report findings and recommendations to the GLRCC on a periodic basis.</w:t>
      </w:r>
    </w:p>
    <w:p>
      <w:pPr>
        <w:pStyle w:val="Heading1"/>
        <w:pBdr>
          <w:bottom w:val="single" w:color="3F7E54" w:sz="6" w:space="4"/>
        </w:pBdr>
        <w:spacing w:before="400" w:after="200"/>
      </w:pPr>
      <w:r>
        <w:rPr>
          <w:rFonts w:ascii="Arial" w:cs="Arial" w:eastAsia="Arial" w:hAnsi="Arial"/>
          <w:b/>
          <w:bCs/>
          <w:color w:val="4F6C52"/>
          <w:sz w:val="32"/>
          <w:szCs w:val="32"/>
        </w:rPr>
        <w:t xml:space="preserve">6.  Related Documents and Procedures</w:t>
      </w:r>
    </w:p>
    <w:p>
      <w:pPr>
        <w:spacing w:after="160" w:before="0"/>
        <w:jc w:val="left"/>
      </w:pPr>
      <w:r>
        <w:rPr>
          <w:rFonts w:ascii="Arial" w:cs="Arial" w:eastAsia="Arial" w:hAnsi="Arial"/>
          <w:b w:val="false"/>
          <w:bCs w:val="false"/>
          <w:i w:val="false"/>
          <w:iCs w:val="false"/>
          <w:color w:val="404040"/>
          <w:sz w:val="21"/>
          <w:szCs w:val="21"/>
        </w:rPr>
        <w:t xml:space="preserve">This Policy shall be read in conjunction with the following organisational policies, standards, and procedures. In the event of a conflict between this Policy and a related document, this Policy shall take precedence unless otherwise specified.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3A624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1"/>
                <w:szCs w:val="21"/>
              </w:rPr>
              <w:t xml:space="preserve">Document</w:t>
            </w:r>
          </w:p>
        </w:tc>
        <w:tc>
          <w:tcPr>
            <w:tcW w:type="dxa" w:w="4680"/>
            <w:tcBorders>
              <w:top w:val="single" w:color="AAAAAA" w:sz="4"/>
              <w:left w:val="single" w:color="AAAAAA" w:sz="4"/>
              <w:bottom w:val="single" w:color="AAAAAA" w:sz="4"/>
              <w:right w:val="single" w:color="AAAAAA" w:sz="4"/>
            </w:tcBorders>
            <w:shd w:fill="3A624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1"/>
                <w:szCs w:val="21"/>
              </w:rPr>
              <w:t xml:space="preserve">Relevance</w:t>
            </w:r>
          </w:p>
        </w:tc>
      </w:tr>
      <w:tr>
        <w:tc>
          <w:tcPr>
            <w:tcW w:type="dxa" w:w="468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Code of Conduct Policy</w:t>
            </w:r>
          </w:p>
        </w:tc>
        <w:tc>
          <w:tcPr>
            <w:tcW w:type="dxa" w:w="468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Establishes the ethical and professional conduct obligations of all employees and contractors.</w:t>
            </w:r>
          </w:p>
        </w:tc>
      </w:tr>
      <w:tr>
        <w:tc>
          <w:tcPr>
            <w:tcW w:type="dxa" w:w="468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Information Security Policy</w:t>
            </w:r>
          </w:p>
        </w:tc>
        <w:tc>
          <w:tcPr>
            <w:tcW w:type="dxa" w:w="468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Defines data security and confidentiality obligations; breaches may trigger disciplinary action.</w:t>
            </w:r>
          </w:p>
        </w:tc>
      </w:tr>
      <w:tr>
        <w:tc>
          <w:tcPr>
            <w:tcW w:type="dxa" w:w="468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Acceptable Use Policy</w:t>
            </w:r>
          </w:p>
        </w:tc>
        <w:tc>
          <w:tcPr>
            <w:tcW w:type="dxa" w:w="468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Sets requirements for acceptable use of organisational assets; violations form grounds for discipline.</w:t>
            </w:r>
          </w:p>
        </w:tc>
      </w:tr>
      <w:tr>
        <w:tc>
          <w:tcPr>
            <w:tcW w:type="dxa" w:w="468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Health and Safety Policy</w:t>
            </w:r>
          </w:p>
        </w:tc>
        <w:tc>
          <w:tcPr>
            <w:tcW w:type="dxa" w:w="468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Outlines health and safety obligations; serious breaches constitute gross misconduct.</w:t>
            </w:r>
          </w:p>
        </w:tc>
      </w:tr>
      <w:tr>
        <w:tc>
          <w:tcPr>
            <w:tcW w:type="dxa" w:w="468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Anti-Bribery and Corruption Policy</w:t>
            </w:r>
          </w:p>
        </w:tc>
        <w:tc>
          <w:tcPr>
            <w:tcW w:type="dxa" w:w="468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Prohibits bribery and corruption; violations constitute gross misconduct.</w:t>
            </w:r>
          </w:p>
        </w:tc>
      </w:tr>
      <w:tr>
        <w:tc>
          <w:tcPr>
            <w:tcW w:type="dxa" w:w="468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Equality and Diversity Policy</w:t>
            </w:r>
          </w:p>
        </w:tc>
        <w:tc>
          <w:tcPr>
            <w:tcW w:type="dxa" w:w="468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Prohibits discrimination, harassment, and victimisation; violations form grounds for discipline.</w:t>
            </w:r>
          </w:p>
        </w:tc>
      </w:tr>
      <w:tr>
        <w:tc>
          <w:tcPr>
            <w:tcW w:type="dxa" w:w="468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Grievance Procedure Policy</w:t>
            </w:r>
          </w:p>
        </w:tc>
        <w:tc>
          <w:tcPr>
            <w:tcW w:type="dxa" w:w="468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Provides a mechanism for employees to raise complaints and disputes in a formal manner.</w:t>
            </w:r>
          </w:p>
        </w:tc>
      </w:tr>
      <w:tr>
        <w:tc>
          <w:tcPr>
            <w:tcW w:type="dxa" w:w="468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Employment Contract and Job Description</w:t>
            </w:r>
          </w:p>
        </w:tc>
        <w:tc>
          <w:tcPr>
            <w:tcW w:type="dxa" w:w="468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Sets out the terms of employment and core responsibilities of each role.</w:t>
            </w:r>
          </w:p>
        </w:tc>
      </w:tr>
      <w:tr>
        <w:tc>
          <w:tcPr>
            <w:tcW w:type="dxa" w:w="468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Data Protection and PDPL Compliance Policy</w:t>
            </w:r>
          </w:p>
        </w:tc>
        <w:tc>
          <w:tcPr>
            <w:tcW w:type="dxa" w:w="468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Governs the handling of personal and sensitive data; misuse may trigger disciplinary action.</w:t>
            </w:r>
          </w:p>
        </w:tc>
      </w:tr>
      <w:tr>
        <w:tc>
          <w:tcPr>
            <w:tcW w:type="dxa" w:w="4680"/>
            <w:tcBorders>
              <w:top w:val="single" w:color="AAAAAA" w:sz="4"/>
              <w:left w:val="single" w:color="AAAAAA" w:sz="4"/>
              <w:bottom w:val="single" w:color="AAAAAA" w:sz="4"/>
              <w:right w:val="single" w:color="AAAAAA" w:sz="4"/>
            </w:tcBorders>
            <w:shd w:fill="D8EADB" w:val="clear"/>
            <w:tcMar>
              <w:top w:type="dxa" w:w="100"/>
              <w:left w:type="dxa" w:w="140"/>
              <w:bottom w:type="dxa" w:w="100"/>
              <w:right w:type="dxa" w:w="140"/>
            </w:tcMar>
            <w:vAlign w:val="center"/>
          </w:tcPr>
          <w:p>
            <w:pPr>
              <w:spacing w:before="0" w:after="0"/>
              <w:jc w:val="left"/>
            </w:pPr>
            <w:r>
              <w:rPr>
                <w:rFonts w:ascii="Arial" w:cs="Arial" w:eastAsia="Arial" w:hAnsi="Arial"/>
                <w:b/>
                <w:bCs/>
                <w:color w:val="3A624E"/>
                <w:sz w:val="21"/>
                <w:szCs w:val="21"/>
              </w:rPr>
              <w:t xml:space="preserve">Performance Management Framework</w:t>
            </w:r>
          </w:p>
        </w:tc>
        <w:tc>
          <w:tcPr>
            <w:tcW w:type="dxa" w:w="468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Establishes performance review, target-setting, and improvement processes separate from disciplinary action.</w:t>
            </w:r>
          </w:p>
        </w:tc>
      </w:tr>
    </w:tbl>
    <w:p>
      <w:pPr>
        <w:pStyle w:val="Heading1"/>
        <w:pBdr>
          <w:bottom w:val="single" w:color="3F7E54" w:sz="6" w:space="4"/>
        </w:pBdr>
        <w:spacing w:before="400" w:after="200"/>
      </w:pPr>
      <w:r>
        <w:rPr>
          <w:rFonts w:ascii="Arial" w:cs="Arial" w:eastAsia="Arial" w:hAnsi="Arial"/>
          <w:b/>
          <w:bCs/>
          <w:color w:val="4F6C52"/>
          <w:sz w:val="32"/>
          <w:szCs w:val="32"/>
        </w:rPr>
        <w:t xml:space="preserve">7.  Policy Review and Updates</w:t>
      </w:r>
    </w:p>
    <w:p>
      <w:pPr>
        <w:spacing w:after="160" w:before="0"/>
        <w:jc w:val="left"/>
      </w:pPr>
      <w:r>
        <w:rPr>
          <w:rFonts w:ascii="Arial" w:cs="Arial" w:eastAsia="Arial" w:hAnsi="Arial"/>
          <w:b w:val="false"/>
          <w:bCs w:val="false"/>
          <w:i w:val="false"/>
          <w:iCs w:val="false"/>
          <w:color w:val="404040"/>
          <w:sz w:val="21"/>
          <w:szCs w:val="21"/>
        </w:rPr>
        <w:t xml:space="preserve">This Policy shall be reviewed and updated on at least an annual basis, or upon the occurrence of any of the following trigger events:</w:t>
      </w:r>
    </w:p>
    <w:p>
      <w:pPr>
        <w:pStyle w:val="ListParagraph"/>
        <w:numPr>
          <w:ilvl w:val="0"/>
          <w:numId w:val="2"/>
        </w:numPr>
        <w:spacing w:after="100"/>
      </w:pPr>
      <w:r>
        <w:rPr>
          <w:rFonts w:ascii="Arial" w:cs="Arial" w:eastAsia="Arial" w:hAnsi="Arial"/>
          <w:color w:val="404040"/>
          <w:sz w:val="21"/>
          <w:szCs w:val="21"/>
        </w:rPr>
        <w:t xml:space="preserve">Material changes to applicable laws, regulations, or regulatory guidance.</w:t>
      </w:r>
    </w:p>
    <w:p>
      <w:pPr>
        <w:pStyle w:val="ListParagraph"/>
        <w:numPr>
          <w:ilvl w:val="0"/>
          <w:numId w:val="2"/>
        </w:numPr>
        <w:spacing w:after="100"/>
      </w:pPr>
      <w:r>
        <w:rPr>
          <w:rFonts w:ascii="Arial" w:cs="Arial" w:eastAsia="Arial" w:hAnsi="Arial"/>
          <w:color w:val="404040"/>
          <w:sz w:val="21"/>
          <w:szCs w:val="21"/>
        </w:rPr>
        <w:t xml:space="preserve">Significant security incidents, audit findings, or regulatory inspections that identify control weaknesses.</w:t>
      </w:r>
    </w:p>
    <w:p>
      <w:pPr>
        <w:pStyle w:val="ListParagraph"/>
        <w:numPr>
          <w:ilvl w:val="0"/>
          <w:numId w:val="2"/>
        </w:numPr>
        <w:spacing w:after="100"/>
      </w:pPr>
      <w:r>
        <w:rPr>
          <w:rFonts w:ascii="Arial" w:cs="Arial" w:eastAsia="Arial" w:hAnsi="Arial"/>
          <w:color w:val="404040"/>
          <w:sz w:val="21"/>
          <w:szCs w:val="21"/>
        </w:rPr>
        <w:t xml:space="preserve">Organisational changes materially affecting the scope, risk profile, or operating structure of the Organisation.</w:t>
      </w:r>
    </w:p>
    <w:p>
      <w:pPr>
        <w:pStyle w:val="ListParagraph"/>
        <w:numPr>
          <w:ilvl w:val="0"/>
          <w:numId w:val="2"/>
        </w:numPr>
        <w:spacing w:after="100"/>
      </w:pPr>
      <w:r>
        <w:rPr>
          <w:rFonts w:ascii="Arial" w:cs="Arial" w:eastAsia="Arial" w:hAnsi="Arial"/>
          <w:color w:val="404040"/>
          <w:sz w:val="21"/>
          <w:szCs w:val="21"/>
        </w:rPr>
        <w:t xml:space="preserve">Changes to technology strategy or the introduction of new operational models.</w:t>
      </w:r>
    </w:p>
    <w:p>
      <w:pPr>
        <w:pStyle w:val="ListParagraph"/>
        <w:numPr>
          <w:ilvl w:val="0"/>
          <w:numId w:val="2"/>
        </w:numPr>
        <w:spacing w:after="100"/>
      </w:pPr>
      <w:r>
        <w:rPr>
          <w:rFonts w:ascii="Arial" w:cs="Arial" w:eastAsia="Arial" w:hAnsi="Arial"/>
          <w:color w:val="404040"/>
          <w:sz w:val="21"/>
          <w:szCs w:val="21"/>
        </w:rPr>
        <w:t xml:space="preserve">Merger, acquisition, or material change in the Organisation's operating environment.</w:t>
      </w:r>
    </w:p>
    <w:p>
      <w:pPr>
        <w:spacing w:after="160" w:before="160"/>
        <w:jc w:val="left"/>
      </w:pPr>
      <w:r>
        <w:rPr>
          <w:rFonts w:ascii="Arial" w:cs="Arial" w:eastAsia="Arial" w:hAnsi="Arial"/>
          <w:b w:val="false"/>
          <w:bCs w:val="false"/>
          <w:i w:val="false"/>
          <w:iCs w:val="false"/>
          <w:color w:val="404040"/>
          <w:sz w:val="21"/>
          <w:szCs w:val="21"/>
        </w:rPr>
        <w:t xml:space="preserve">The Head of People and Talent is the owner of this Policy and is responsible for ensuring it is maintained, reviewed, and approved in accordance with this schedule. All revisions must be approved by the General, Legal, and Regulatory Compliance Committee (GLRCC). Superseded versions shall be retained in the document management system for a minimum of five (5) years.</w:t>
      </w:r>
    </w:p>
    <w:p>
      <w:pPr>
        <w:pStyle w:val="Heading1"/>
        <w:pBdr>
          <w:bottom w:val="single" w:color="3F7E54" w:sz="6" w:space="4"/>
        </w:pBdr>
        <w:spacing w:before="400" w:after="200"/>
      </w:pPr>
      <w:r>
        <w:rPr>
          <w:rFonts w:ascii="Arial" w:cs="Arial" w:eastAsia="Arial" w:hAnsi="Arial"/>
          <w:b/>
          <w:bCs/>
          <w:color w:val="4F6C52"/>
          <w:sz w:val="32"/>
          <w:szCs w:val="32"/>
        </w:rPr>
        <w:t xml:space="preserve">9.  Control Effectiveness Measurement</w:t>
      </w:r>
    </w:p>
    <w:p>
      <w:pPr>
        <w:spacing w:after="160" w:before="0"/>
        <w:jc w:val="left"/>
      </w:pPr>
      <w:r>
        <w:rPr>
          <w:rFonts w:ascii="Arial" w:cs="Arial" w:eastAsia="Arial" w:hAnsi="Arial"/>
          <w:b w:val="false"/>
          <w:bCs w:val="false"/>
          <w:i w:val="false"/>
          <w:iCs w:val="false"/>
          <w:color w:val="404040"/>
          <w:sz w:val="21"/>
          <w:szCs w:val="21"/>
        </w:rPr>
        <w:t xml:space="preserve">The effectiveness of the controls defined in this Policy shall be measured, monitored, and reported on a periodic basis to the relevant governance body as part of the Organisation's governance reporting cycle.</w:t>
      </w:r>
    </w:p>
    <w:p>
      <w:pPr>
        <w:pStyle w:val="Heading2"/>
        <w:spacing w:before="280" w:after="140"/>
      </w:pPr>
      <w:r>
        <w:rPr>
          <w:rFonts w:ascii="Arial" w:cs="Arial" w:eastAsia="Arial" w:hAnsi="Arial"/>
          <w:b/>
          <w:bCs/>
          <w:color w:val="3F7E54"/>
          <w:sz w:val="26"/>
          <w:szCs w:val="26"/>
        </w:rPr>
        <w:t xml:space="preserve">9.1  Key Performance Indicators (KPIs)</w:t>
      </w:r>
    </w:p>
    <w:p>
      <w:pPr>
        <w:spacing w:after="160" w:before="0"/>
        <w:jc w:val="left"/>
      </w:pPr>
      <w:r>
        <w:rPr>
          <w:rFonts w:ascii="Arial" w:cs="Arial" w:eastAsia="Arial" w:hAnsi="Arial"/>
          <w:b w:val="false"/>
          <w:bCs w:val="false"/>
          <w:i w:val="false"/>
          <w:iCs w:val="false"/>
          <w:color w:val="404040"/>
          <w:sz w:val="21"/>
          <w:szCs w:val="21"/>
        </w:rPr>
        <w:t xml:space="preserve">The following KPIs shall be defined, maintained, and tracked by the Policy Owner. Detailed thresholds and targets shall be documented in supporting metrics and control measurement procedures.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600"/>
        <w:gridCol w:w="2760"/>
        <w:gridCol w:w="2700"/>
      </w:tblGrid>
      <w:tr>
        <w:tc>
          <w:tcPr>
            <w:tcW w:type="dxa" w:w="300"/>
            <w:tcBorders>
              <w:top w:val="single" w:color="AAAAAA" w:sz="4"/>
              <w:left w:val="single" w:color="AAAAAA" w:sz="4"/>
              <w:bottom w:val="single" w:color="AAAAAA" w:sz="4"/>
              <w:right w:val="single" w:color="AAAAAA" w:sz="4"/>
            </w:tcBorders>
            <w:shd w:fill="3A624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1"/>
                <w:szCs w:val="21"/>
              </w:rPr>
              <w:t xml:space="preserve">#</w:t>
            </w:r>
          </w:p>
        </w:tc>
        <w:tc>
          <w:tcPr>
            <w:tcW w:type="dxa" w:w="3600"/>
            <w:tcBorders>
              <w:top w:val="single" w:color="AAAAAA" w:sz="4"/>
              <w:left w:val="single" w:color="AAAAAA" w:sz="4"/>
              <w:bottom w:val="single" w:color="AAAAAA" w:sz="4"/>
              <w:right w:val="single" w:color="AAAAAA" w:sz="4"/>
            </w:tcBorders>
            <w:shd w:fill="3A624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1"/>
                <w:szCs w:val="21"/>
              </w:rPr>
              <w:t xml:space="preserve">KPI Description</w:t>
            </w:r>
          </w:p>
        </w:tc>
        <w:tc>
          <w:tcPr>
            <w:tcW w:type="dxa" w:w="2760"/>
            <w:tcBorders>
              <w:top w:val="single" w:color="AAAAAA" w:sz="4"/>
              <w:left w:val="single" w:color="AAAAAA" w:sz="4"/>
              <w:bottom w:val="single" w:color="AAAAAA" w:sz="4"/>
              <w:right w:val="single" w:color="AAAAAA" w:sz="4"/>
            </w:tcBorders>
            <w:shd w:fill="3A624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1"/>
                <w:szCs w:val="21"/>
              </w:rPr>
              <w:t xml:space="preserve">Measurement Frequency</w:t>
            </w:r>
          </w:p>
        </w:tc>
        <w:tc>
          <w:tcPr>
            <w:tcW w:type="dxa" w:w="2700"/>
            <w:tcBorders>
              <w:top w:val="single" w:color="AAAAAA" w:sz="4"/>
              <w:left w:val="single" w:color="AAAAAA" w:sz="4"/>
              <w:bottom w:val="single" w:color="AAAAAA" w:sz="4"/>
              <w:right w:val="single" w:color="AAAAAA" w:sz="4"/>
            </w:tcBorders>
            <w:shd w:fill="3A624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1"/>
                <w:szCs w:val="21"/>
              </w:rPr>
              <w:t xml:space="preserve">Reporting Audience</w:t>
            </w:r>
          </w:p>
        </w:tc>
      </w:tr>
      <w:tr>
        <w:tc>
          <w:tcPr>
            <w:tcW w:type="dxa" w:w="3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center"/>
            </w:pPr>
            <w:r>
              <w:rPr>
                <w:rFonts w:ascii="Arial" w:cs="Arial" w:eastAsia="Arial" w:hAnsi="Arial"/>
                <w:b w:val="false"/>
                <w:bCs w:val="false"/>
                <w:color w:val="404040"/>
                <w:sz w:val="21"/>
                <w:szCs w:val="21"/>
              </w:rPr>
              <w:t xml:space="preserve">1</w:t>
            </w:r>
          </w:p>
        </w:tc>
        <w:tc>
          <w:tcPr>
            <w:tcW w:type="dxa" w:w="36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Percentage of disciplinary matters resolved within statutory timeframes (10 working days)</w:t>
            </w:r>
          </w:p>
        </w:tc>
        <w:tc>
          <w:tcPr>
            <w:tcW w:type="dxa" w:w="27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Quarterly</w:t>
            </w:r>
          </w:p>
        </w:tc>
        <w:tc>
          <w:tcPr>
            <w:tcW w:type="dxa" w:w="27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Head of People and Talent / GLRCC</w:t>
            </w:r>
          </w:p>
        </w:tc>
      </w:tr>
      <w:tr>
        <w:tc>
          <w:tcPr>
            <w:tcW w:type="dxa" w:w="3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center"/>
            </w:pPr>
            <w:r>
              <w:rPr>
                <w:rFonts w:ascii="Arial" w:cs="Arial" w:eastAsia="Arial" w:hAnsi="Arial"/>
                <w:b w:val="false"/>
                <w:bCs w:val="false"/>
                <w:color w:val="404040"/>
                <w:sz w:val="21"/>
                <w:szCs w:val="21"/>
              </w:rPr>
              <w:t xml:space="preserve">2</w:t>
            </w:r>
          </w:p>
        </w:tc>
        <w:tc>
          <w:tcPr>
            <w:tcW w:type="dxa" w:w="36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Number of formal disciplinary cases initiated and concluded by type (misconduct / performance)</w:t>
            </w:r>
          </w:p>
        </w:tc>
        <w:tc>
          <w:tcPr>
            <w:tcW w:type="dxa" w:w="27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Quarterly</w:t>
            </w:r>
          </w:p>
        </w:tc>
        <w:tc>
          <w:tcPr>
            <w:tcW w:type="dxa" w:w="27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Head of People and Talent</w:t>
            </w:r>
          </w:p>
        </w:tc>
      </w:tr>
      <w:tr>
        <w:tc>
          <w:tcPr>
            <w:tcW w:type="dxa" w:w="3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center"/>
            </w:pPr>
            <w:r>
              <w:rPr>
                <w:rFonts w:ascii="Arial" w:cs="Arial" w:eastAsia="Arial" w:hAnsi="Arial"/>
                <w:b w:val="false"/>
                <w:bCs w:val="false"/>
                <w:color w:val="404040"/>
                <w:sz w:val="21"/>
                <w:szCs w:val="21"/>
              </w:rPr>
              <w:t xml:space="preserve">3</w:t>
            </w:r>
          </w:p>
        </w:tc>
        <w:tc>
          <w:tcPr>
            <w:tcW w:type="dxa" w:w="36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Appeal rate and outcome of appeals as a proportion of total disciplinary decisions</w:t>
            </w:r>
          </w:p>
        </w:tc>
        <w:tc>
          <w:tcPr>
            <w:tcW w:type="dxa" w:w="27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Quarterly</w:t>
            </w:r>
          </w:p>
        </w:tc>
        <w:tc>
          <w:tcPr>
            <w:tcW w:type="dxa" w:w="27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Head of People and Talent</w:t>
            </w:r>
          </w:p>
        </w:tc>
      </w:tr>
      <w:tr>
        <w:tc>
          <w:tcPr>
            <w:tcW w:type="dxa" w:w="3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center"/>
            </w:pPr>
            <w:r>
              <w:rPr>
                <w:rFonts w:ascii="Arial" w:cs="Arial" w:eastAsia="Arial" w:hAnsi="Arial"/>
                <w:b w:val="false"/>
                <w:bCs w:val="false"/>
                <w:color w:val="404040"/>
                <w:sz w:val="21"/>
                <w:szCs w:val="21"/>
              </w:rPr>
              <w:t xml:space="preserve">4</w:t>
            </w:r>
          </w:p>
        </w:tc>
        <w:tc>
          <w:tcPr>
            <w:tcW w:type="dxa" w:w="36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Percentage of supervisors and managers trained on disciplinary procedure compliance</w:t>
            </w:r>
          </w:p>
        </w:tc>
        <w:tc>
          <w:tcPr>
            <w:tcW w:type="dxa" w:w="27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Annual</w:t>
            </w:r>
          </w:p>
        </w:tc>
        <w:tc>
          <w:tcPr>
            <w:tcW w:type="dxa" w:w="27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Head of People and Talent</w:t>
            </w:r>
          </w:p>
        </w:tc>
      </w:tr>
      <w:tr>
        <w:tc>
          <w:tcPr>
            <w:tcW w:type="dxa" w:w="3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center"/>
            </w:pPr>
            <w:r>
              <w:rPr>
                <w:rFonts w:ascii="Arial" w:cs="Arial" w:eastAsia="Arial" w:hAnsi="Arial"/>
                <w:b w:val="false"/>
                <w:bCs w:val="false"/>
                <w:color w:val="404040"/>
                <w:sz w:val="21"/>
                <w:szCs w:val="21"/>
              </w:rPr>
              <w:t xml:space="preserve">5</w:t>
            </w:r>
          </w:p>
        </w:tc>
        <w:tc>
          <w:tcPr>
            <w:tcW w:type="dxa" w:w="36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Number of procedural compliance failures or regulatory findings related to disciplinary process</w:t>
            </w:r>
          </w:p>
        </w:tc>
        <w:tc>
          <w:tcPr>
            <w:tcW w:type="dxa" w:w="27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Annual</w:t>
            </w:r>
          </w:p>
        </w:tc>
        <w:tc>
          <w:tcPr>
            <w:tcW w:type="dxa" w:w="27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Internal Audit / GLRCC</w:t>
            </w:r>
          </w:p>
        </w:tc>
      </w:tr>
    </w:tbl>
    <w:p>
      <w:pPr>
        <w:spacing w:before="160" w:after="160"/>
      </w:pPr>
      <w:r>
        <w:t xml:space="preserve"/>
      </w:r>
    </w:p>
    <w:p>
      <w:pPr>
        <w:spacing w:after="160" w:before="0"/>
        <w:jc w:val="left"/>
      </w:pPr>
      <w:r>
        <w:rPr>
          <w:rFonts w:ascii="Arial" w:cs="Arial" w:eastAsia="Arial" w:hAnsi="Arial"/>
          <w:b w:val="false"/>
          <w:bCs w:val="false"/>
          <w:i w:val="false"/>
          <w:iCs w:val="false"/>
          <w:color w:val="404040"/>
          <w:sz w:val="21"/>
          <w:szCs w:val="21"/>
        </w:rPr>
        <w:t xml:space="preserve">KPI results shall be reviewed on the defined frequency. Material deviations from defined targets shall trigger a root-cause analysis and a documented corrective action plan. KPI outcomes shall be used to identify control gaps and drive continuous improvement.</w:t>
      </w:r>
    </w:p>
    <w:p>
      <w:pPr>
        <w:pStyle w:val="Heading1"/>
        <w:pBdr>
          <w:bottom w:val="single" w:color="3F7E54" w:sz="6" w:space="4"/>
        </w:pBdr>
        <w:spacing w:before="400" w:after="200"/>
      </w:pPr>
      <w:r>
        <w:rPr>
          <w:rFonts w:ascii="Arial" w:cs="Arial" w:eastAsia="Arial" w:hAnsi="Arial"/>
          <w:b/>
          <w:bCs/>
          <w:color w:val="4F6C52"/>
          <w:sz w:val="32"/>
          <w:szCs w:val="32"/>
        </w:rPr>
        <w:t xml:space="preserve">Policy Approval</w:t>
      </w:r>
    </w:p>
    <w:p>
      <w:pPr>
        <w:spacing w:after="160" w:before="0"/>
        <w:jc w:val="left"/>
      </w:pPr>
      <w:r>
        <w:rPr>
          <w:rFonts w:ascii="Arial" w:cs="Arial" w:eastAsia="Arial" w:hAnsi="Arial"/>
          <w:b w:val="false"/>
          <w:bCs w:val="false"/>
          <w:i w:val="false"/>
          <w:iCs w:val="false"/>
          <w:color w:val="404040"/>
          <w:sz w:val="21"/>
          <w:szCs w:val="21"/>
        </w:rPr>
        <w:t xml:space="preserve">This Policy has been reviewed and approved by the authorised signatories listed below.</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60"/>
        <w:gridCol w:w="2000"/>
        <w:gridCol w:w="2200"/>
      </w:tblGrid>
      <w:tr>
        <w:tc>
          <w:tcPr>
            <w:tcW w:type="dxa" w:w="2800"/>
            <w:tcBorders>
              <w:top w:val="single" w:color="AAAAAA" w:sz="4"/>
              <w:left w:val="single" w:color="AAAAAA" w:sz="4"/>
              <w:bottom w:val="single" w:color="AAAAAA" w:sz="4"/>
              <w:right w:val="single" w:color="AAAAAA" w:sz="4"/>
            </w:tcBorders>
            <w:shd w:fill="3A624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1"/>
                <w:szCs w:val="21"/>
              </w:rPr>
              <w:t xml:space="preserve">Role</w:t>
            </w:r>
          </w:p>
        </w:tc>
        <w:tc>
          <w:tcPr>
            <w:tcW w:type="dxa" w:w="2360"/>
            <w:tcBorders>
              <w:top w:val="single" w:color="AAAAAA" w:sz="4"/>
              <w:left w:val="single" w:color="AAAAAA" w:sz="4"/>
              <w:bottom w:val="single" w:color="AAAAAA" w:sz="4"/>
              <w:right w:val="single" w:color="AAAAAA" w:sz="4"/>
            </w:tcBorders>
            <w:shd w:fill="3A624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1"/>
                <w:szCs w:val="21"/>
              </w:rPr>
              <w:t xml:space="preserve">Name</w:t>
            </w:r>
          </w:p>
        </w:tc>
        <w:tc>
          <w:tcPr>
            <w:tcW w:type="dxa" w:w="2000"/>
            <w:tcBorders>
              <w:top w:val="single" w:color="AAAAAA" w:sz="4"/>
              <w:left w:val="single" w:color="AAAAAA" w:sz="4"/>
              <w:bottom w:val="single" w:color="AAAAAA" w:sz="4"/>
              <w:right w:val="single" w:color="AAAAAA" w:sz="4"/>
            </w:tcBorders>
            <w:shd w:fill="3A624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1"/>
                <w:szCs w:val="21"/>
              </w:rPr>
              <w:t xml:space="preserve">Signature</w:t>
            </w:r>
          </w:p>
        </w:tc>
        <w:tc>
          <w:tcPr>
            <w:tcW w:type="dxa" w:w="2200"/>
            <w:tcBorders>
              <w:top w:val="single" w:color="AAAAAA" w:sz="4"/>
              <w:left w:val="single" w:color="AAAAAA" w:sz="4"/>
              <w:bottom w:val="single" w:color="AAAAAA" w:sz="4"/>
              <w:right w:val="single" w:color="AAAAAA" w:sz="4"/>
            </w:tcBorders>
            <w:shd w:fill="3A624E" w:val="clear"/>
            <w:tcMar>
              <w:top w:type="dxa" w:w="100"/>
              <w:left w:type="dxa" w:w="140"/>
              <w:bottom w:type="dxa" w:w="100"/>
              <w:right w:type="dxa" w:w="140"/>
            </w:tcMar>
            <w:vAlign w:val="center"/>
          </w:tcPr>
          <w:p>
            <w:pPr>
              <w:spacing w:before="0" w:after="0"/>
              <w:jc w:val="left"/>
            </w:pPr>
            <w:r>
              <w:rPr>
                <w:rFonts w:ascii="Arial" w:cs="Arial" w:eastAsia="Arial" w:hAnsi="Arial"/>
                <w:b/>
                <w:bCs/>
                <w:color w:val="FFFFFF"/>
                <w:sz w:val="21"/>
                <w:szCs w:val="21"/>
              </w:rPr>
              <w:t xml:space="preserve">Date</w:t>
            </w:r>
          </w:p>
        </w:tc>
      </w:tr>
      <w:tr>
        <w:tc>
          <w:tcPr>
            <w:tcW w:type="dxa" w:w="28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Head of People and Talent</w:t>
            </w:r>
          </w:p>
        </w:tc>
        <w:tc>
          <w:tcPr>
            <w:tcW w:type="dxa" w:w="23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
            </w:r>
          </w:p>
        </w:tc>
      </w:tr>
      <w:tr>
        <w:tc>
          <w:tcPr>
            <w:tcW w:type="dxa" w:w="28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Chief Compliance Officer</w:t>
            </w:r>
          </w:p>
        </w:tc>
        <w:tc>
          <w:tcPr>
            <w:tcW w:type="dxa" w:w="23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
            </w:r>
          </w:p>
        </w:tc>
      </w:tr>
      <w:tr>
        <w:tc>
          <w:tcPr>
            <w:tcW w:type="dxa" w:w="28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Board Sponsor - Human Resources</w:t>
            </w:r>
          </w:p>
        </w:tc>
        <w:tc>
          <w:tcPr>
            <w:tcW w:type="dxa" w:w="236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center"/>
          </w:tcPr>
          <w:p>
            <w:pPr>
              <w:spacing w:before="0" w:after="0"/>
              <w:jc w:val="left"/>
            </w:pPr>
            <w:r>
              <w:rPr>
                <w:rFonts w:ascii="Arial" w:cs="Arial" w:eastAsia="Arial" w:hAnsi="Arial"/>
                <w:b w:val="false"/>
                <w:bCs w:val="false"/>
                <w:color w:val="404040"/>
                <w:sz w:val="21"/>
                <w:szCs w:val="21"/>
              </w:rPr>
              <w:t xml:space="preserve"/>
            </w:r>
          </w:p>
        </w:tc>
      </w:tr>
    </w:tbl>
    <w:p>
      <w:pPr>
        <w:spacing w:before="200" w:after="200"/>
      </w:pPr>
      <w:r>
        <w:t xml:space="preserve"/>
      </w:r>
    </w:p>
    <w:p>
      <w:pPr>
        <w:pBdr>
          <w:top w:val="single" w:color="3F7E54" w:sz="6" w:space="4"/>
        </w:pBdr>
        <w:spacing w:before="200" w:after="0"/>
        <w:jc w:val="center"/>
      </w:pPr>
      <w:r>
        <w:rPr>
          <w:rFonts w:ascii="Arial" w:cs="Arial" w:eastAsia="Arial" w:hAnsi="Arial"/>
          <w:i/>
          <w:iCs/>
          <w:color w:val="404040"/>
          <w:sz w:val="18"/>
          <w:szCs w:val="18"/>
        </w:rPr>
        <w:t xml:space="preserve">This document is the property of the Organisation and must not be disclosed to unauthorised parties.</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Bdr>
        <w:top w:val="single" w:color="3F7E54" w:sz="4" w:space="4"/>
      </w:pBdr>
      <w:spacing w:before="80" w:after="40"/>
      <w:jc w:val="left"/>
    </w:pPr>
    <w:r>
      <w:rPr>
        <w:rFonts w:ascii="Arial" w:cs="Arial" w:eastAsia="Arial" w:hAnsi="Arial"/>
        <w:color w:val="404040"/>
        <w:sz w:val="18"/>
        <w:szCs w:val="18"/>
      </w:rPr>
      <w:t xml:space="preserve">Version 1.0  |  [effective_date]  |  SAMA CSF Aligned  |  ISO 27001:2022 Aligned  |  KSA Labour Law</w:t>
    </w:r>
  </w:p>
  <w:p>
    <w:pPr>
      <w:spacing w:before="0" w:after="0"/>
      <w:jc w:val="center"/>
    </w:pPr>
    <w:r>
      <w:rPr>
        <w:rFonts w:ascii="Arial" w:cs="Arial" w:eastAsia="Arial" w:hAnsi="Arial"/>
        <w:color w:val="404040"/>
        <w:sz w:val="18"/>
        <w:szCs w:val="18"/>
      </w:rPr>
      <w:t xml:space="preserve">Page </w:t>
    </w:r>
    <w:r>
      <w:rPr>
        <w:rFonts w:ascii="Arial" w:cs="Arial" w:eastAsia="Arial" w:hAnsi="Arial"/>
        <w:color w:val="404040"/>
        <w:sz w:val="18"/>
        <w:szCs w:val="18"/>
      </w:rPr>
      <w:fldChar w:fldCharType="begin"/>
    </w:r>
    <w:r>
      <w:rPr>
        <w:rFonts w:ascii="Arial" w:cs="Arial" w:eastAsia="Arial" w:hAnsi="Arial"/>
        <w:color w:val="404040"/>
        <w:sz w:val="18"/>
        <w:szCs w:val="18"/>
      </w:rPr>
      <w:instrText xml:space="preserve">PAGE</w:instrText>
    </w:r>
    <w:r>
      <w:rPr>
        <w:rFonts w:ascii="Arial" w:cs="Arial" w:eastAsia="Arial" w:hAnsi="Arial"/>
        <w:color w:val="404040"/>
        <w:sz w:val="18"/>
        <w:szCs w:val="18"/>
      </w:rPr>
      <w:fldChar w:fldCharType="separate"/>
    </w:r>
    <w:r>
      <w:rPr>
        <w:rFonts w:ascii="Arial" w:cs="Arial" w:eastAsia="Arial" w:hAnsi="Arial"/>
        <w:color w:val="404040"/>
        <w:sz w:val="18"/>
        <w:szCs w:val="18"/>
      </w:rPr>
      <w:fldChar w:fldCharType="end"/>
    </w:r>
    <w:r>
      <w:rPr>
        <w:rFonts w:ascii="Arial" w:cs="Arial" w:eastAsia="Arial" w:hAnsi="Arial"/>
        <w:color w:val="404040"/>
        <w:sz w:val="18"/>
        <w:szCs w:val="18"/>
      </w:rPr>
      <w:t xml:space="preserve"> of </w:t>
    </w:r>
    <w:r>
      <w:rPr>
        <w:rFonts w:ascii="Arial" w:cs="Arial" w:eastAsia="Arial" w:hAnsi="Arial"/>
        <w:color w:val="404040"/>
        <w:sz w:val="18"/>
        <w:szCs w:val="18"/>
      </w:rPr>
      <w:fldChar w:fldCharType="begin"/>
    </w:r>
    <w:r>
      <w:rPr>
        <w:rFonts w:ascii="Arial" w:cs="Arial" w:eastAsia="Arial" w:hAnsi="Arial"/>
        <w:color w:val="404040"/>
        <w:sz w:val="18"/>
        <w:szCs w:val="18"/>
      </w:rPr>
      <w:instrText xml:space="preserve">NUMPAGES</w:instrText>
    </w:r>
    <w:r>
      <w:rPr>
        <w:rFonts w:ascii="Arial" w:cs="Arial" w:eastAsia="Arial" w:hAnsi="Arial"/>
        <w:color w:val="404040"/>
        <w:sz w:val="18"/>
        <w:szCs w:val="18"/>
      </w:rPr>
      <w:fldChar w:fldCharType="separate"/>
    </w:r>
    <w:r>
      <w:rPr>
        <w:rFonts w:ascii="Arial" w:cs="Arial" w:eastAsia="Arial" w:hAnsi="Arial"/>
        <w:color w:val="40404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left"/>
    </w:pPr>
    <w:r>
      <w:rPr>
        <w:rFonts w:ascii="Arial" w:cs="Arial" w:eastAsia="Arial" w:hAnsi="Arial"/>
        <w:b/>
        <w:bCs/>
        <w:color w:val="3F7E54"/>
        <w:sz w:val="16"/>
        <w:szCs w:val="16"/>
      </w:rPr>
      <w:t>[company_logo_header]</w:t>
    </w:r>
  </w:p>
  <w:p>
    <w:pPr>
      <w:pBdr>
        <w:bottom w:val="single" w:color="3F7E54" w:sz="4" w:space="4"/>
      </w:pBdr>
      <w:spacing w:after="80"/>
      <w:jc w:val="right"/>
    </w:pPr>
    <w:r>
      <w:rPr>
        <w:rFonts w:ascii="Arial" w:cs="Arial" w:eastAsia="Arial" w:hAnsi="Arial"/>
        <w:color w:val="3F7E54"/>
        <w:sz w:val="18"/>
        <w:szCs w:val="18"/>
      </w:rPr>
      <w:t xml:space="preserve">Disciplinary Procedure Policy  |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lvl>
    <w:lvl w:ilvl="1" w15:tentative="1">
      <w:start w:val="1"/>
      <w:numFmt w:val="bullet"/>
      <w:lvlText w:val="◦"/>
      <w:lvlJc w:val="left"/>
      <w:pPr>
        <w:spacing w:after="80"/>
        <w:ind w:left="1080" w:hanging="360"/>
      </w:pPr>
    </w:lvl>
    <w:lvl w:ilvl="2" w15:tentative="1">
      <w:start w:val="1"/>
      <w:numFmt w:val="bullet"/>
      <w:lvlText w:val="▪"/>
      <w:lvlJc w:val="left"/>
      <w:pPr>
        <w:spacing w:after="80"/>
        <w:ind w:left="1440" w:hanging="360"/>
      </w:pPr>
    </w:lvl>
  </w:abstractNum>
  <w:abstractNum w:abstractNumId="3" w15:restartNumberingAfterBreak="0">
    <w:multiLevelType w:val="hybridMultilevel"/>
    <w:lvl w:ilvl="0" w15:tentative="1">
      <w:start w:val="1"/>
      <w:numFmt w:val="decimal"/>
      <w:lvlText w:val="%1."/>
      <w:lvlJc w:val="left"/>
      <w:pPr>
        <w:spacing w:after="10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4F6C52"/>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3F7E54"/>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2026-02-25T19:29:52.934Z</dcterms:created>
  <dcterms:modified xsi:type="dcterms:W3CDTF">2026-02-25T19:29:52.935Z</dcterms:modified>
</cp:coreProperties>
</file>

<file path=docProps/custom.xml><?xml version="1.0" encoding="utf-8"?>
<Properties xmlns="http://schemas.openxmlformats.org/officeDocument/2006/custom-properties" xmlns:vt="http://schemas.openxmlformats.org/officeDocument/2006/docPropsVTypes"/>
</file>