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Asset Register Policy &amp; Unified Asset Inventory</w:t>
      </w:r>
    </w:p>
    <w:p>
      <w:r>
        <w:t>Document ID: AM-REG-01</w:t>
      </w:r>
    </w:p>
    <w:p>
      <w:r>
        <w:t>Version: 2.3</w:t>
      </w:r>
    </w:p>
    <w:p>
      <w:r>
        <w:t>Approved By: Risk &amp; Compliance Committee (Board-delegated authority)</w:t>
      </w:r>
    </w:p>
    <w:p>
      <w:r>
        <w:t>Approval Date: 15 January 2026</w:t>
      </w:r>
    </w:p>
    <w:p>
      <w:r>
        <w:t>Next Review: January 2027</w:t>
      </w:r>
    </w:p>
    <w:p>
      <w:pPr>
        <w:pStyle w:val="Heading2"/>
      </w:pPr>
      <w:r>
        <w:t>1. Purpose</w:t>
      </w:r>
    </w:p>
    <w:p>
      <w:r>
        <w:t>This document defines the unified Asset Register governing all information assets across production, staging, disaster recovery, and corporate environments.</w:t>
      </w:r>
    </w:p>
    <w:p>
      <w:pPr>
        <w:pStyle w:val="Heading2"/>
      </w:pPr>
      <w:r>
        <w:t>2. Unified Asset Register</w:t>
      </w:r>
    </w:p>
    <w:p>
      <w:r>
        <w:t>Lean maintains a centralized Asset Register within the GRC platform.</w:t>
      </w:r>
    </w:p>
    <w:p>
      <w:r>
        <w:t>The register includes:</w:t>
      </w:r>
    </w:p>
    <w:p>
      <w:r>
        <w:t>- Unique Asset ID</w:t>
      </w:r>
    </w:p>
    <w:p>
      <w:r>
        <w:t>- Asset Name</w:t>
      </w:r>
    </w:p>
    <w:p>
      <w:r>
        <w:t>- Asset Type</w:t>
      </w:r>
    </w:p>
    <w:p>
      <w:r>
        <w:t>- Environment</w:t>
      </w:r>
    </w:p>
    <w:p>
      <w:r>
        <w:t>- Business Owner</w:t>
      </w:r>
    </w:p>
    <w:p>
      <w:r>
        <w:t>- Technical Custodian</w:t>
      </w:r>
    </w:p>
    <w:p>
      <w:r>
        <w:t>- Data Classification</w:t>
      </w:r>
    </w:p>
    <w:p>
      <w:r>
        <w:t>- Criticality Rating</w:t>
      </w:r>
    </w:p>
    <w:p>
      <w:r>
        <w:t>- CIA Impact Rating</w:t>
      </w:r>
    </w:p>
    <w:p>
      <w:r>
        <w:t>- Linked Risk ID</w:t>
      </w:r>
    </w:p>
    <w:p>
      <w:r>
        <w:t>- Linked Incident ID</w:t>
      </w:r>
    </w:p>
    <w:p>
      <w:r>
        <w:t>- Linked Vendor</w:t>
      </w:r>
    </w:p>
    <w:p>
      <w:r>
        <w:t>- Last Review Date</w:t>
      </w:r>
    </w:p>
    <w:p>
      <w:pPr>
        <w:pStyle w:val="Heading2"/>
      </w:pPr>
      <w:r>
        <w:t>3. Ownership &amp; Custodianship</w:t>
      </w:r>
    </w:p>
    <w:p>
      <w:r>
        <w:t>Each asset must have a named Business Owner accountable for risk and classification, and a Technical Custodian responsible for operational security controls.</w:t>
      </w:r>
    </w:p>
    <w:p>
      <w:pPr>
        <w:pStyle w:val="Heading2"/>
      </w:pPr>
      <w:r>
        <w:t>4. Process Integration</w:t>
      </w:r>
    </w:p>
    <w:p>
      <w:r>
        <w:t>The Asset Register is formally integrated with Risk Management, Change Management, Vulnerability Management, Incident Management, Third Party Risk Management, and Business Continuity Planning.</w:t>
      </w:r>
    </w:p>
    <w:p>
      <w:pPr>
        <w:pStyle w:val="Heading2"/>
      </w:pPr>
      <w:r>
        <w:t>5. Classification, Labeling &amp; Handling</w:t>
      </w:r>
    </w:p>
    <w:p>
      <w:r>
        <w:t>Assets are classified as Public, Internal, Confidential, or Restricted. Handling requirements are defined in the Information Classification Standard.</w:t>
      </w:r>
    </w:p>
    <w:p>
      <w:pPr>
        <w:pStyle w:val="Heading2"/>
      </w:pPr>
      <w:r>
        <w:t>6. Asset Discovery</w:t>
      </w:r>
    </w:p>
    <w:p>
      <w:r>
        <w:t>New assets are identified through automated cloud discovery tools, vulnerability scanner feeds, CI/CD integration, and quarterly reconciliation reviews.</w:t>
      </w:r>
    </w:p>
    <w:p>
      <w:pPr>
        <w:pStyle w:val="Heading2"/>
      </w:pPr>
      <w:r>
        <w:t>7. Governance &amp; Review</w:t>
      </w:r>
    </w:p>
    <w:p>
      <w:r>
        <w:t>The Asset Register is reviewed quarterly and formally approved annually by the Risk &amp; Compliance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