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F8EE" w14:textId="25F3A07F" w:rsidR="000B3796" w:rsidRDefault="000B3796" w:rsidP="00564F4E">
      <w:pPr>
        <w:pStyle w:val="Standard"/>
        <w:tabs>
          <w:tab w:val="left" w:pos="4470"/>
        </w:tabs>
        <w:spacing w:line="480" w:lineRule="auto"/>
        <w:rPr>
          <w:rFonts w:ascii="Times New Roman" w:hAnsi="Times New Roman" w:cs="Times New Roman"/>
          <w:b/>
          <w:bCs/>
          <w:sz w:val="28"/>
          <w:szCs w:val="28"/>
        </w:rPr>
      </w:pPr>
    </w:p>
    <w:p w14:paraId="5BE14380" w14:textId="5F9268EE" w:rsidR="00E736DC" w:rsidRDefault="00E736DC" w:rsidP="00564F4E">
      <w:pPr>
        <w:pStyle w:val="Standard"/>
        <w:tabs>
          <w:tab w:val="left" w:pos="4470"/>
        </w:tabs>
        <w:spacing w:line="480" w:lineRule="auto"/>
        <w:rPr>
          <w:rFonts w:ascii="Times New Roman" w:hAnsi="Times New Roman" w:cs="Times New Roman"/>
          <w:b/>
          <w:bCs/>
          <w:sz w:val="28"/>
          <w:szCs w:val="28"/>
        </w:rPr>
      </w:pPr>
    </w:p>
    <w:p w14:paraId="0ED05598" w14:textId="6970679B" w:rsidR="005D0DFE" w:rsidRDefault="005D0DFE" w:rsidP="00564F4E">
      <w:pPr>
        <w:pStyle w:val="Standard"/>
        <w:tabs>
          <w:tab w:val="left" w:pos="4470"/>
        </w:tabs>
        <w:spacing w:line="480" w:lineRule="auto"/>
        <w:rPr>
          <w:rFonts w:ascii="Times New Roman" w:hAnsi="Times New Roman" w:cs="Times New Roman"/>
          <w:b/>
          <w:bCs/>
          <w:sz w:val="28"/>
          <w:szCs w:val="28"/>
        </w:rPr>
      </w:pPr>
    </w:p>
    <w:p w14:paraId="184398C7" w14:textId="77777777" w:rsidR="005D0DFE" w:rsidRDefault="005D0DFE" w:rsidP="00564F4E">
      <w:pPr>
        <w:pStyle w:val="Standard"/>
        <w:tabs>
          <w:tab w:val="left" w:pos="4470"/>
        </w:tabs>
        <w:spacing w:line="480" w:lineRule="auto"/>
        <w:rPr>
          <w:rFonts w:ascii="Times New Roman" w:hAnsi="Times New Roman" w:cs="Times New Roman"/>
          <w:b/>
          <w:bCs/>
          <w:sz w:val="28"/>
          <w:szCs w:val="28"/>
        </w:rPr>
      </w:pPr>
    </w:p>
    <w:p w14:paraId="2A26D167" w14:textId="2E3C2B52" w:rsidR="00E736DC" w:rsidRDefault="00E736DC" w:rsidP="00564F4E">
      <w:pPr>
        <w:pStyle w:val="Standard"/>
        <w:tabs>
          <w:tab w:val="left" w:pos="4470"/>
        </w:tabs>
        <w:spacing w:line="480" w:lineRule="auto"/>
        <w:rPr>
          <w:rFonts w:ascii="Times New Roman" w:hAnsi="Times New Roman" w:cs="Times New Roman"/>
          <w:b/>
          <w:bCs/>
          <w:sz w:val="28"/>
          <w:szCs w:val="28"/>
        </w:rPr>
      </w:pPr>
    </w:p>
    <w:p w14:paraId="5556A687" w14:textId="783F7CA7" w:rsidR="00E736DC" w:rsidRDefault="00E736DC" w:rsidP="00564F4E">
      <w:pPr>
        <w:pStyle w:val="Standard"/>
        <w:tabs>
          <w:tab w:val="left" w:pos="4470"/>
        </w:tabs>
        <w:spacing w:line="480" w:lineRule="auto"/>
        <w:rPr>
          <w:rFonts w:ascii="Times New Roman" w:hAnsi="Times New Roman" w:cs="Times New Roman"/>
          <w:b/>
          <w:bCs/>
          <w:sz w:val="28"/>
          <w:szCs w:val="28"/>
        </w:rPr>
      </w:pPr>
    </w:p>
    <w:p w14:paraId="3D338AA5" w14:textId="532C41B4" w:rsidR="000B3796" w:rsidRPr="000B3796" w:rsidRDefault="00A85F82" w:rsidP="00564F4E">
      <w:pPr>
        <w:pStyle w:val="Standard"/>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Incident Management Response</w:t>
      </w:r>
    </w:p>
    <w:p w14:paraId="3A594835" w14:textId="11CEA7E0"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Ben</w:t>
      </w:r>
      <w:r w:rsidR="00BA757A">
        <w:rPr>
          <w:rFonts w:ascii="Times New Roman" w:hAnsi="Times New Roman" w:cs="Times New Roman"/>
        </w:rPr>
        <w:t>jamin M.</w:t>
      </w:r>
      <w:r w:rsidRPr="000B3796">
        <w:rPr>
          <w:rFonts w:ascii="Times New Roman" w:hAnsi="Times New Roman" w:cs="Times New Roman"/>
        </w:rPr>
        <w:t xml:space="preserve"> Brandhorst</w:t>
      </w:r>
    </w:p>
    <w:p w14:paraId="4F9BB94D" w14:textId="71D6C1B1"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University of Maryland Global Campus</w:t>
      </w:r>
    </w:p>
    <w:p w14:paraId="7B690139" w14:textId="0C76812C"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SDEV 360 6380 Secure Software Engineering</w:t>
      </w:r>
    </w:p>
    <w:p w14:paraId="4C26E490" w14:textId="56D19C62" w:rsidR="000B3796" w:rsidRPr="000B3796" w:rsidRDefault="000B3796" w:rsidP="00564F4E">
      <w:pPr>
        <w:pStyle w:val="Standard"/>
        <w:tabs>
          <w:tab w:val="left" w:pos="7920"/>
          <w:tab w:val="left" w:pos="8640"/>
        </w:tabs>
        <w:spacing w:line="480" w:lineRule="auto"/>
        <w:jc w:val="center"/>
        <w:rPr>
          <w:rFonts w:ascii="Times New Roman" w:hAnsi="Times New Roman" w:cs="Times New Roman"/>
        </w:rPr>
      </w:pPr>
      <w:r w:rsidRPr="000B3796">
        <w:rPr>
          <w:rFonts w:ascii="Times New Roman" w:hAnsi="Times New Roman" w:cs="Times New Roman"/>
        </w:rPr>
        <w:t>Professor Kevin Woodson</w:t>
      </w:r>
    </w:p>
    <w:p w14:paraId="5C41DE8B" w14:textId="303D3469" w:rsidR="000B3796" w:rsidRPr="000B3796" w:rsidRDefault="00A85F82" w:rsidP="00564F4E">
      <w:pPr>
        <w:pStyle w:val="Standard"/>
        <w:spacing w:line="480" w:lineRule="auto"/>
        <w:jc w:val="center"/>
        <w:rPr>
          <w:rFonts w:ascii="Times New Roman" w:hAnsi="Times New Roman" w:cs="Times New Roman"/>
          <w:vertAlign w:val="superscript"/>
        </w:rPr>
      </w:pPr>
      <w:r>
        <w:rPr>
          <w:rFonts w:ascii="Times New Roman" w:hAnsi="Times New Roman" w:cs="Times New Roman"/>
        </w:rPr>
        <w:t>March 8th</w:t>
      </w:r>
      <w:r w:rsidR="000B3796" w:rsidRPr="000B3796">
        <w:rPr>
          <w:rFonts w:ascii="Times New Roman" w:hAnsi="Times New Roman" w:cs="Times New Roman"/>
        </w:rPr>
        <w:t>, 2020</w:t>
      </w:r>
    </w:p>
    <w:p w14:paraId="426949D2" w14:textId="77777777" w:rsidR="000B3796" w:rsidRPr="000B3796" w:rsidRDefault="000B3796" w:rsidP="00564F4E">
      <w:pPr>
        <w:pStyle w:val="Standard"/>
        <w:spacing w:line="480" w:lineRule="auto"/>
        <w:jc w:val="center"/>
        <w:rPr>
          <w:rFonts w:ascii="Times New Roman" w:hAnsi="Times New Roman" w:cs="Times New Roman"/>
          <w:sz w:val="28"/>
          <w:szCs w:val="28"/>
        </w:rPr>
      </w:pPr>
    </w:p>
    <w:p w14:paraId="0EAED21E" w14:textId="7D5ABF25" w:rsidR="00334D3E" w:rsidRDefault="00334D3E" w:rsidP="00564F4E">
      <w:pPr>
        <w:pStyle w:val="Standard"/>
        <w:spacing w:line="480" w:lineRule="auto"/>
        <w:jc w:val="center"/>
        <w:rPr>
          <w:rFonts w:ascii="Times New Roman" w:hAnsi="Times New Roman" w:cs="Times New Roman"/>
          <w:b/>
          <w:bCs/>
          <w:sz w:val="28"/>
          <w:szCs w:val="28"/>
        </w:rPr>
      </w:pPr>
    </w:p>
    <w:p w14:paraId="1D63DB2A" w14:textId="1ADBA351" w:rsidR="000B3796" w:rsidRDefault="000B3796" w:rsidP="00564F4E">
      <w:pPr>
        <w:pStyle w:val="Standard"/>
        <w:spacing w:line="480" w:lineRule="auto"/>
        <w:jc w:val="center"/>
        <w:rPr>
          <w:rFonts w:ascii="Times New Roman" w:hAnsi="Times New Roman" w:cs="Times New Roman"/>
          <w:b/>
          <w:bCs/>
          <w:sz w:val="28"/>
          <w:szCs w:val="28"/>
        </w:rPr>
      </w:pPr>
    </w:p>
    <w:p w14:paraId="771511B8" w14:textId="7E55C1FE" w:rsidR="000B3796" w:rsidRDefault="000B3796" w:rsidP="00564F4E">
      <w:pPr>
        <w:pStyle w:val="Standard"/>
        <w:spacing w:line="480" w:lineRule="auto"/>
        <w:jc w:val="center"/>
        <w:rPr>
          <w:rFonts w:ascii="Times New Roman" w:hAnsi="Times New Roman" w:cs="Times New Roman"/>
          <w:b/>
          <w:bCs/>
          <w:sz w:val="28"/>
          <w:szCs w:val="28"/>
        </w:rPr>
      </w:pPr>
    </w:p>
    <w:p w14:paraId="3B001ABF" w14:textId="7B4D9F1E" w:rsidR="000B3796" w:rsidRDefault="000B3796" w:rsidP="00564F4E">
      <w:pPr>
        <w:pStyle w:val="Standard"/>
        <w:spacing w:line="480" w:lineRule="auto"/>
        <w:jc w:val="center"/>
        <w:rPr>
          <w:rFonts w:ascii="Times New Roman" w:hAnsi="Times New Roman" w:cs="Times New Roman"/>
          <w:b/>
          <w:bCs/>
          <w:sz w:val="28"/>
          <w:szCs w:val="28"/>
        </w:rPr>
      </w:pPr>
    </w:p>
    <w:p w14:paraId="51BE3C51" w14:textId="77777777" w:rsidR="00D85C2D" w:rsidRDefault="00D85C2D" w:rsidP="00564F4E">
      <w:pPr>
        <w:tabs>
          <w:tab w:val="left" w:pos="8560"/>
        </w:tabs>
        <w:spacing w:line="480" w:lineRule="auto"/>
        <w:rPr>
          <w:b/>
          <w:bCs/>
          <w:noProof/>
        </w:rPr>
      </w:pPr>
    </w:p>
    <w:p w14:paraId="2D451DB5" w14:textId="77777777" w:rsidR="005D0DFE" w:rsidRDefault="005D0DFE" w:rsidP="00564F4E">
      <w:pPr>
        <w:tabs>
          <w:tab w:val="left" w:pos="8560"/>
        </w:tabs>
        <w:spacing w:line="480" w:lineRule="auto"/>
        <w:rPr>
          <w:b/>
          <w:bCs/>
          <w:sz w:val="28"/>
          <w:szCs w:val="28"/>
        </w:rPr>
      </w:pPr>
    </w:p>
    <w:p w14:paraId="263529A4" w14:textId="331867BF" w:rsidR="00F67F42" w:rsidRDefault="00F67F42" w:rsidP="006F2E86">
      <w:pPr>
        <w:spacing w:line="480" w:lineRule="auto"/>
      </w:pPr>
    </w:p>
    <w:p w14:paraId="6E7C8953" w14:textId="050CAF7A" w:rsidR="00AF5803" w:rsidRDefault="00AF5803" w:rsidP="00CA693A">
      <w:pPr>
        <w:rPr>
          <w:sz w:val="28"/>
          <w:szCs w:val="28"/>
        </w:rPr>
      </w:pPr>
    </w:p>
    <w:p w14:paraId="1C59E5D7" w14:textId="4D547ED0" w:rsidR="00665C21" w:rsidRPr="00E63699" w:rsidRDefault="006D695F" w:rsidP="00F16FAF">
      <w:pPr>
        <w:spacing w:line="480" w:lineRule="auto"/>
        <w:jc w:val="both"/>
      </w:pPr>
      <w:r>
        <w:tab/>
      </w:r>
      <w:bookmarkStart w:id="0" w:name="OLE_LINK1"/>
      <w:bookmarkStart w:id="1" w:name="OLE_LINK2"/>
      <w:r>
        <w:t>For the ATM system incident, we will be following the United States</w:t>
      </w:r>
      <w:r w:rsidR="00E02E63">
        <w:t xml:space="preserve"> (U.S.)</w:t>
      </w:r>
      <w:r>
        <w:t xml:space="preserve"> Department of Homeland Security</w:t>
      </w:r>
      <w:r w:rsidR="00E02E63">
        <w:t xml:space="preserve"> (DHS)</w:t>
      </w:r>
      <w:r>
        <w:t xml:space="preserve"> Cybersecurity and Infrastructure Security Agency</w:t>
      </w:r>
      <w:r w:rsidR="00E02E63">
        <w:t xml:space="preserve"> </w:t>
      </w:r>
      <w:r>
        <w:t xml:space="preserve">(CISA) incident management best practice model. </w:t>
      </w:r>
      <w:bookmarkEnd w:id="0"/>
      <w:bookmarkEnd w:id="1"/>
    </w:p>
    <w:p w14:paraId="21BA0944" w14:textId="72DC0B6A" w:rsidR="00665C21" w:rsidRDefault="00E63699" w:rsidP="00F16FAF">
      <w:pPr>
        <w:spacing w:line="480" w:lineRule="auto"/>
        <w:jc w:val="both"/>
        <w:rPr>
          <w:sz w:val="20"/>
          <w:szCs w:val="20"/>
        </w:rPr>
      </w:pPr>
      <w:r>
        <w:rPr>
          <w:noProof/>
          <w:sz w:val="20"/>
          <w:szCs w:val="20"/>
        </w:rPr>
        <w:drawing>
          <wp:inline distT="0" distB="0" distL="0" distR="0" wp14:anchorId="7EAED186" wp14:editId="6587D0AC">
            <wp:extent cx="5943600" cy="3554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8 at 10.21.1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14:paraId="681CDFE4" w14:textId="26AE277D" w:rsidR="00665C21" w:rsidRDefault="00E63699" w:rsidP="00F16FAF">
      <w:pPr>
        <w:spacing w:line="480" w:lineRule="auto"/>
        <w:jc w:val="both"/>
        <w:rPr>
          <w:sz w:val="20"/>
          <w:szCs w:val="20"/>
        </w:rPr>
      </w:pPr>
      <w:r>
        <w:rPr>
          <w:sz w:val="20"/>
          <w:szCs w:val="20"/>
        </w:rPr>
        <w:t xml:space="preserve">Figure 1 – Incident management best practice model (Diagram format source: </w:t>
      </w:r>
      <w:r w:rsidRPr="00E63699">
        <w:rPr>
          <w:sz w:val="20"/>
          <w:szCs w:val="20"/>
        </w:rPr>
        <w:t>(</w:t>
      </w:r>
      <w:proofErr w:type="spellStart"/>
      <w:r w:rsidRPr="00E63699">
        <w:rPr>
          <w:sz w:val="20"/>
          <w:szCs w:val="20"/>
        </w:rPr>
        <w:t>Killcrece</w:t>
      </w:r>
      <w:proofErr w:type="spellEnd"/>
      <w:r w:rsidRPr="00E63699">
        <w:rPr>
          <w:sz w:val="20"/>
          <w:szCs w:val="20"/>
        </w:rPr>
        <w:t>, 2005)</w:t>
      </w:r>
      <w:r>
        <w:rPr>
          <w:sz w:val="20"/>
          <w:szCs w:val="20"/>
        </w:rPr>
        <w:t>)</w:t>
      </w:r>
    </w:p>
    <w:p w14:paraId="262AE8F9" w14:textId="60B43830" w:rsidR="00E02E63" w:rsidRPr="00625D59" w:rsidRDefault="00E02E63" w:rsidP="00F16FAF">
      <w:pPr>
        <w:spacing w:line="480" w:lineRule="auto"/>
        <w:jc w:val="both"/>
      </w:pPr>
      <w:r w:rsidRPr="00625D59">
        <w:tab/>
        <w:t>Our Incident Response Plan (IRP) will focus on the following:</w:t>
      </w:r>
    </w:p>
    <w:p w14:paraId="7CDC7A0D" w14:textId="494F6A3B"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Identifying security incidents</w:t>
      </w:r>
    </w:p>
    <w:p w14:paraId="06AB293C" w14:textId="6F69EE4A"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Resolving an incident quickly</w:t>
      </w:r>
    </w:p>
    <w:p w14:paraId="4DE78298" w14:textId="32F12846"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Protecting assets and reducing losses</w:t>
      </w:r>
    </w:p>
    <w:p w14:paraId="68A2CFAE" w14:textId="311B363E"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Recovering from a security event</w:t>
      </w:r>
    </w:p>
    <w:p w14:paraId="7BFCC8F4" w14:textId="1BE2FE82"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Mitigating future organizational risks or exposures</w:t>
      </w:r>
    </w:p>
    <w:p w14:paraId="6E4A73F3" w14:textId="135FF8B0" w:rsidR="00E02E63" w:rsidRPr="00625D59" w:rsidRDefault="00E02E63" w:rsidP="00E02E63">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Reducing the chaos of crises</w:t>
      </w:r>
    </w:p>
    <w:p w14:paraId="4436B5F5" w14:textId="2C300062" w:rsidR="00665C21" w:rsidRDefault="00E02E63" w:rsidP="00F16FAF">
      <w:pPr>
        <w:pStyle w:val="ListParagraph"/>
        <w:numPr>
          <w:ilvl w:val="0"/>
          <w:numId w:val="5"/>
        </w:numPr>
        <w:spacing w:line="480" w:lineRule="auto"/>
        <w:jc w:val="both"/>
        <w:rPr>
          <w:rFonts w:ascii="Times New Roman" w:hAnsi="Times New Roman" w:cs="Times New Roman"/>
        </w:rPr>
      </w:pPr>
      <w:r w:rsidRPr="00625D59">
        <w:rPr>
          <w:rFonts w:ascii="Times New Roman" w:hAnsi="Times New Roman" w:cs="Times New Roman"/>
        </w:rPr>
        <w:t>Proper and consistent documentation</w:t>
      </w:r>
    </w:p>
    <w:p w14:paraId="715554FA" w14:textId="77777777" w:rsidR="00625D59" w:rsidRDefault="00625D59" w:rsidP="00625D59">
      <w:pPr>
        <w:ind w:firstLine="706"/>
        <w:jc w:val="both"/>
      </w:pPr>
    </w:p>
    <w:p w14:paraId="42DFF025" w14:textId="73F3F80E" w:rsidR="00625D59" w:rsidRPr="00625D59" w:rsidRDefault="00625D59" w:rsidP="00625D59">
      <w:pPr>
        <w:spacing w:line="480" w:lineRule="auto"/>
        <w:jc w:val="both"/>
        <w:rPr>
          <w:b/>
          <w:bCs/>
        </w:rPr>
      </w:pPr>
      <w:r w:rsidRPr="00625D59">
        <w:rPr>
          <w:b/>
          <w:bCs/>
        </w:rPr>
        <w:t>Detection and Reporting</w:t>
      </w:r>
    </w:p>
    <w:p w14:paraId="488B8A44" w14:textId="136B3DC8" w:rsidR="00625D59" w:rsidRDefault="006724DC" w:rsidP="00625D59">
      <w:pPr>
        <w:spacing w:line="480" w:lineRule="auto"/>
        <w:ind w:firstLine="706"/>
        <w:jc w:val="both"/>
      </w:pPr>
      <w:r>
        <w:t xml:space="preserve">Our incident response is modeled after the example provided by Digital Guardian “The Five Steps of Incident Response” </w:t>
      </w:r>
      <w:r w:rsidRPr="006724DC">
        <w:t>(Bandos, 2019)</w:t>
      </w:r>
      <w:r>
        <w:t xml:space="preserve">. </w:t>
      </w:r>
      <w:r>
        <w:t>I</w:t>
      </w:r>
      <w:r w:rsidR="00625D59">
        <w:t xml:space="preserve">n this scenario, large sums of money were withdrawn from several networked ATM systems by the same User ID. </w:t>
      </w:r>
      <w:r>
        <w:t xml:space="preserve">All </w:t>
      </w:r>
      <w:r w:rsidR="00625D59">
        <w:t xml:space="preserve">bank employees should be trained and familiar with our incident response plan and should have available to them the hotline with which they can report the incident. A backup organizational mailbox should also be available for any employee to send reports of potential incidents. Once the alert has been given, an incident ticket should be created by an analyst which documents the initial findings and provides an initial incident classification.  </w:t>
      </w:r>
    </w:p>
    <w:p w14:paraId="5C3AC949" w14:textId="6E393AF3" w:rsidR="00625D59" w:rsidRDefault="00625D59" w:rsidP="00625D59">
      <w:pPr>
        <w:spacing w:line="480" w:lineRule="auto"/>
        <w:jc w:val="both"/>
        <w:rPr>
          <w:b/>
          <w:bCs/>
        </w:rPr>
      </w:pPr>
      <w:r>
        <w:rPr>
          <w:b/>
          <w:bCs/>
        </w:rPr>
        <w:t>Tr</w:t>
      </w:r>
      <w:bookmarkStart w:id="2" w:name="OLE_LINK9"/>
      <w:bookmarkStart w:id="3" w:name="OLE_LINK10"/>
      <w:r>
        <w:rPr>
          <w:b/>
          <w:bCs/>
        </w:rPr>
        <w:t>iage and Analysis</w:t>
      </w:r>
    </w:p>
    <w:bookmarkEnd w:id="2"/>
    <w:bookmarkEnd w:id="3"/>
    <w:p w14:paraId="24978014" w14:textId="28D6A304" w:rsidR="00625D59" w:rsidRDefault="00625D59" w:rsidP="00625D59">
      <w:pPr>
        <w:spacing w:line="480" w:lineRule="auto"/>
        <w:jc w:val="both"/>
      </w:pPr>
      <w:r>
        <w:rPr>
          <w:b/>
          <w:bCs/>
        </w:rPr>
        <w:tab/>
      </w:r>
      <w:r w:rsidR="006724DC">
        <w:t>In this step we spend most of our effort trying to understand the scale of and effects of the security incident. Here we will use our resources to collect data from tools and systems to analyze for indications of compromise. Our focus will primarily be in three areas:</w:t>
      </w:r>
    </w:p>
    <w:p w14:paraId="4511DC56" w14:textId="2B5C6567" w:rsidR="006724DC" w:rsidRDefault="006724DC" w:rsidP="006724DC">
      <w:pPr>
        <w:pStyle w:val="ListParagraph"/>
        <w:numPr>
          <w:ilvl w:val="0"/>
          <w:numId w:val="5"/>
        </w:numPr>
        <w:spacing w:line="480" w:lineRule="auto"/>
        <w:jc w:val="both"/>
      </w:pPr>
      <w:bookmarkStart w:id="4" w:name="OLE_LINK5"/>
      <w:bookmarkStart w:id="5" w:name="OLE_LINK6"/>
      <w:bookmarkStart w:id="6" w:name="OLE_LINK7"/>
      <w:bookmarkStart w:id="7" w:name="OLE_LINK8"/>
      <w:r>
        <w:t>Endpoint Analysis</w:t>
      </w:r>
    </w:p>
    <w:p w14:paraId="12AAE6DB" w14:textId="62831FA2" w:rsidR="006724DC" w:rsidRDefault="006724DC" w:rsidP="006724DC">
      <w:pPr>
        <w:pStyle w:val="ListParagraph"/>
        <w:numPr>
          <w:ilvl w:val="1"/>
          <w:numId w:val="5"/>
        </w:numPr>
        <w:spacing w:line="480" w:lineRule="auto"/>
        <w:jc w:val="both"/>
      </w:pPr>
      <w:r>
        <w:t>Determine if tracks were left by threat actor</w:t>
      </w:r>
    </w:p>
    <w:p w14:paraId="5B6178AB" w14:textId="7DEDC440" w:rsidR="006724DC" w:rsidRDefault="006724DC" w:rsidP="006724DC">
      <w:pPr>
        <w:pStyle w:val="ListParagraph"/>
        <w:numPr>
          <w:ilvl w:val="1"/>
          <w:numId w:val="5"/>
        </w:numPr>
        <w:spacing w:line="480" w:lineRule="auto"/>
        <w:jc w:val="both"/>
      </w:pPr>
      <w:r>
        <w:t xml:space="preserve">Gather artifacts </w:t>
      </w:r>
      <w:r w:rsidR="000F6E15">
        <w:t>to build timeline of activities</w:t>
      </w:r>
    </w:p>
    <w:p w14:paraId="258EB6B3" w14:textId="396B37C0" w:rsidR="000F6E15" w:rsidRDefault="000F6E15" w:rsidP="006724DC">
      <w:pPr>
        <w:pStyle w:val="ListParagraph"/>
        <w:numPr>
          <w:ilvl w:val="1"/>
          <w:numId w:val="5"/>
        </w:numPr>
        <w:spacing w:line="480" w:lineRule="auto"/>
        <w:jc w:val="both"/>
      </w:pPr>
      <w:r>
        <w:t>Bit-for-bit analysis of copy of systems from a forensic perspective</w:t>
      </w:r>
    </w:p>
    <w:bookmarkEnd w:id="6"/>
    <w:bookmarkEnd w:id="7"/>
    <w:p w14:paraId="59D0861B" w14:textId="3F38C4CC" w:rsidR="000F6E15" w:rsidRDefault="000F6E15" w:rsidP="000F6E15">
      <w:pPr>
        <w:pStyle w:val="ListParagraph"/>
        <w:numPr>
          <w:ilvl w:val="0"/>
          <w:numId w:val="5"/>
        </w:numPr>
        <w:spacing w:line="480" w:lineRule="auto"/>
        <w:jc w:val="both"/>
      </w:pPr>
      <w:r>
        <w:t>Binary Analysis</w:t>
      </w:r>
    </w:p>
    <w:p w14:paraId="49FF2E15" w14:textId="2A7C0625" w:rsidR="000F6E15" w:rsidRDefault="000F6E15" w:rsidP="000F6E15">
      <w:pPr>
        <w:pStyle w:val="ListParagraph"/>
        <w:numPr>
          <w:ilvl w:val="1"/>
          <w:numId w:val="5"/>
        </w:numPr>
        <w:spacing w:line="480" w:lineRule="auto"/>
        <w:jc w:val="both"/>
      </w:pPr>
      <w:r>
        <w:t>Investigate malicious binaries or tools used by attacker and document program functionalities. This can be done by:</w:t>
      </w:r>
    </w:p>
    <w:p w14:paraId="73047C80" w14:textId="3E489651" w:rsidR="000F6E15" w:rsidRDefault="000F6E15" w:rsidP="000F6E15">
      <w:pPr>
        <w:pStyle w:val="ListParagraph"/>
        <w:numPr>
          <w:ilvl w:val="2"/>
          <w:numId w:val="5"/>
        </w:numPr>
        <w:spacing w:line="480" w:lineRule="auto"/>
        <w:jc w:val="both"/>
      </w:pPr>
      <w:r>
        <w:t>Behavioral Analysis: Execute program in a Virtual Machine</w:t>
      </w:r>
    </w:p>
    <w:p w14:paraId="01BB63F7" w14:textId="30D1E36D" w:rsidR="000F6E15" w:rsidRDefault="000F6E15" w:rsidP="000F6E15">
      <w:pPr>
        <w:pStyle w:val="ListParagraph"/>
        <w:numPr>
          <w:ilvl w:val="2"/>
          <w:numId w:val="5"/>
        </w:numPr>
        <w:spacing w:line="480" w:lineRule="auto"/>
        <w:jc w:val="both"/>
      </w:pPr>
      <w:r>
        <w:t>Static Analysis: Reverse Engineer the program</w:t>
      </w:r>
    </w:p>
    <w:p w14:paraId="052302EA" w14:textId="294271DA" w:rsidR="000F6E15" w:rsidRDefault="000F6E15" w:rsidP="000F6E15">
      <w:pPr>
        <w:pStyle w:val="ListParagraph"/>
        <w:numPr>
          <w:ilvl w:val="0"/>
          <w:numId w:val="5"/>
        </w:numPr>
        <w:spacing w:line="480" w:lineRule="auto"/>
        <w:jc w:val="both"/>
      </w:pPr>
      <w:r>
        <w:t>Enterprise Hunting</w:t>
      </w:r>
    </w:p>
    <w:p w14:paraId="5648E7F7" w14:textId="77777777" w:rsidR="000F6E15" w:rsidRDefault="000F6E15" w:rsidP="000F6E15">
      <w:pPr>
        <w:pStyle w:val="ListParagraph"/>
        <w:ind w:left="2146"/>
        <w:jc w:val="both"/>
      </w:pPr>
    </w:p>
    <w:p w14:paraId="2B337D23" w14:textId="0A4BDA98" w:rsidR="000F6E15" w:rsidRDefault="000F6E15" w:rsidP="000F6E15">
      <w:pPr>
        <w:pStyle w:val="ListParagraph"/>
        <w:numPr>
          <w:ilvl w:val="1"/>
          <w:numId w:val="5"/>
        </w:numPr>
        <w:spacing w:line="480" w:lineRule="auto"/>
        <w:jc w:val="both"/>
      </w:pPr>
      <w:r>
        <w:t>Analyze existing systems and event logs to determine scope of compromise</w:t>
      </w:r>
    </w:p>
    <w:p w14:paraId="71546F0B" w14:textId="297DA1ED" w:rsidR="000F6E15" w:rsidRDefault="000F6E15" w:rsidP="000F6E15">
      <w:pPr>
        <w:pStyle w:val="ListParagraph"/>
        <w:numPr>
          <w:ilvl w:val="1"/>
          <w:numId w:val="5"/>
        </w:numPr>
        <w:spacing w:line="480" w:lineRule="auto"/>
        <w:jc w:val="both"/>
      </w:pPr>
      <w:r>
        <w:t xml:space="preserve">Document all compromised accounts and machines so that effective containment and neutralization can be performed. </w:t>
      </w:r>
    </w:p>
    <w:p w14:paraId="53B9C8BA" w14:textId="27768175" w:rsidR="000F6E15" w:rsidRDefault="000F6E15" w:rsidP="000F6E15">
      <w:pPr>
        <w:spacing w:line="480" w:lineRule="auto"/>
        <w:jc w:val="both"/>
        <w:rPr>
          <w:b/>
          <w:bCs/>
        </w:rPr>
      </w:pPr>
      <w:r w:rsidRPr="000F6E15">
        <w:rPr>
          <w:b/>
          <w:bCs/>
        </w:rPr>
        <w:t>Containment and Neutralization</w:t>
      </w:r>
    </w:p>
    <w:p w14:paraId="79717CEC" w14:textId="58B22A15" w:rsidR="00FF2BBA" w:rsidRDefault="000F6E15" w:rsidP="000F6E15">
      <w:pPr>
        <w:spacing w:line="480" w:lineRule="auto"/>
        <w:jc w:val="both"/>
      </w:pPr>
      <w:r>
        <w:rPr>
          <w:b/>
          <w:bCs/>
        </w:rPr>
        <w:tab/>
      </w:r>
      <w:r>
        <w:t xml:space="preserve">Using the evidence and information gathered in the previous steps, we are now prepared to contain and neutralize the threat. This happens </w:t>
      </w:r>
      <w:r w:rsidR="00FF2BBA">
        <w:t>by conducting a coordinated shutdown of all compromised systems within the environment. All Incident Response (IR) members should be notified so that the shutdown timing is coordinated. All of the infected devices should be rebuilt from the ground up. Additionally, any compromised account passwords should also be reset. If any domains or IP addresses were identified as being leveraged by bad actors for command and control</w:t>
      </w:r>
      <w:r w:rsidR="00AB67CD">
        <w:t>, be communication from all channels connected to those domains should be blocked.</w:t>
      </w:r>
    </w:p>
    <w:p w14:paraId="46053B2D" w14:textId="0EABCEDE" w:rsidR="00AB67CD" w:rsidRDefault="00AB67CD" w:rsidP="000F6E15">
      <w:pPr>
        <w:spacing w:line="480" w:lineRule="auto"/>
        <w:jc w:val="both"/>
        <w:rPr>
          <w:b/>
          <w:bCs/>
        </w:rPr>
      </w:pPr>
      <w:r>
        <w:rPr>
          <w:b/>
          <w:bCs/>
        </w:rPr>
        <w:t>Post-Incident Activity</w:t>
      </w:r>
    </w:p>
    <w:p w14:paraId="702BC8CD" w14:textId="364ACF95" w:rsidR="00AB67CD" w:rsidRPr="00AB67CD" w:rsidRDefault="00AB67CD" w:rsidP="000F6E15">
      <w:pPr>
        <w:spacing w:line="480" w:lineRule="auto"/>
        <w:jc w:val="both"/>
      </w:pPr>
      <w:r>
        <w:rPr>
          <w:b/>
          <w:bCs/>
        </w:rPr>
        <w:tab/>
      </w:r>
      <w:r>
        <w:t xml:space="preserve">An incident report that documents all of the details of the incident should be completed. This will help the incident response plan and compliment additional security measures to help mitigate against similar security incidents in the future. Post incident monitoring should continue to look for bad actors attempting the same exploitation again. Based on </w:t>
      </w:r>
      <w:r w:rsidR="00D44235">
        <w:t xml:space="preserve">information gathered in the Triage and Analysis step, mitigations against further exploitations of this vulnerability should be developed and implemented. </w:t>
      </w:r>
    </w:p>
    <w:p w14:paraId="7F0E9B7E" w14:textId="77777777" w:rsidR="000F6E15" w:rsidRDefault="000F6E15" w:rsidP="000F6E15">
      <w:pPr>
        <w:spacing w:line="480" w:lineRule="auto"/>
        <w:jc w:val="both"/>
      </w:pPr>
    </w:p>
    <w:p w14:paraId="43FBB92A" w14:textId="77777777" w:rsidR="000F6E15" w:rsidRDefault="000F6E15" w:rsidP="000F6E15">
      <w:pPr>
        <w:spacing w:line="480" w:lineRule="auto"/>
        <w:jc w:val="both"/>
      </w:pPr>
    </w:p>
    <w:bookmarkEnd w:id="4"/>
    <w:bookmarkEnd w:id="5"/>
    <w:p w14:paraId="34E0791C" w14:textId="77777777" w:rsidR="000F6E15" w:rsidRPr="006724DC" w:rsidRDefault="000F6E15" w:rsidP="000F6E15">
      <w:pPr>
        <w:spacing w:line="480" w:lineRule="auto"/>
        <w:ind w:left="1412"/>
        <w:jc w:val="both"/>
      </w:pPr>
    </w:p>
    <w:p w14:paraId="57C9FE9E" w14:textId="7B39E5AA" w:rsidR="00665C21" w:rsidRDefault="00665C21" w:rsidP="00F16FAF">
      <w:pPr>
        <w:spacing w:line="480" w:lineRule="auto"/>
        <w:jc w:val="both"/>
        <w:rPr>
          <w:sz w:val="20"/>
          <w:szCs w:val="20"/>
        </w:rPr>
      </w:pPr>
    </w:p>
    <w:p w14:paraId="772C9BAC" w14:textId="055D0B80" w:rsidR="00665C21" w:rsidRDefault="00665C21" w:rsidP="00F16FAF">
      <w:pPr>
        <w:spacing w:line="480" w:lineRule="auto"/>
        <w:jc w:val="both"/>
        <w:rPr>
          <w:sz w:val="20"/>
          <w:szCs w:val="20"/>
        </w:rPr>
      </w:pPr>
    </w:p>
    <w:p w14:paraId="6E6511B6" w14:textId="77777777" w:rsidR="00D44235" w:rsidRDefault="00D44235" w:rsidP="00D44235">
      <w:pPr>
        <w:shd w:val="clear" w:color="auto" w:fill="FFFFFF"/>
        <w:suppressAutoHyphens w:val="0"/>
        <w:autoSpaceDN/>
        <w:jc w:val="center"/>
        <w:textAlignment w:val="auto"/>
        <w:rPr>
          <w:color w:val="000000"/>
        </w:rPr>
      </w:pPr>
    </w:p>
    <w:p w14:paraId="31B10A1C" w14:textId="51EF8F9B" w:rsidR="00D44235" w:rsidRPr="00D44235" w:rsidRDefault="00D44235" w:rsidP="00D44235">
      <w:pPr>
        <w:shd w:val="clear" w:color="auto" w:fill="FFFFFF"/>
        <w:suppressAutoHyphens w:val="0"/>
        <w:autoSpaceDN/>
        <w:jc w:val="center"/>
        <w:textAlignment w:val="auto"/>
        <w:rPr>
          <w:color w:val="000000"/>
        </w:rPr>
      </w:pPr>
      <w:bookmarkStart w:id="8" w:name="_GoBack"/>
      <w:bookmarkEnd w:id="8"/>
      <w:r w:rsidRPr="00D44235">
        <w:rPr>
          <w:color w:val="000000"/>
        </w:rPr>
        <w:t>References</w:t>
      </w:r>
    </w:p>
    <w:p w14:paraId="6FDDAED5" w14:textId="77777777" w:rsidR="00D44235" w:rsidRPr="00D44235" w:rsidRDefault="00D44235" w:rsidP="00D44235">
      <w:pPr>
        <w:shd w:val="clear" w:color="auto" w:fill="FFFFFF"/>
        <w:suppressAutoHyphens w:val="0"/>
        <w:autoSpaceDN/>
        <w:spacing w:line="550" w:lineRule="atLeast"/>
        <w:ind w:left="720" w:right="75" w:hanging="720"/>
        <w:textAlignment w:val="auto"/>
        <w:rPr>
          <w:color w:val="000000"/>
        </w:rPr>
      </w:pPr>
      <w:r w:rsidRPr="00D44235">
        <w:rPr>
          <w:color w:val="000000"/>
        </w:rPr>
        <w:t>Bandos, T. (2019, June 26). The five steps of incident response. Retrieved from https://digitalguardian.com/blog/five-steps-incident-response</w:t>
      </w:r>
    </w:p>
    <w:p w14:paraId="26891957" w14:textId="77777777" w:rsidR="00D44235" w:rsidRPr="00D44235" w:rsidRDefault="00D44235" w:rsidP="00D44235">
      <w:pPr>
        <w:shd w:val="clear" w:color="auto" w:fill="FFFFFF"/>
        <w:suppressAutoHyphens w:val="0"/>
        <w:autoSpaceDN/>
        <w:spacing w:line="550" w:lineRule="atLeast"/>
        <w:ind w:left="720" w:right="75" w:hanging="720"/>
        <w:textAlignment w:val="auto"/>
        <w:rPr>
          <w:color w:val="000000"/>
        </w:rPr>
      </w:pPr>
      <w:proofErr w:type="spellStart"/>
      <w:r w:rsidRPr="00D44235">
        <w:rPr>
          <w:color w:val="000000"/>
        </w:rPr>
        <w:t>Killcrece</w:t>
      </w:r>
      <w:proofErr w:type="spellEnd"/>
      <w:r w:rsidRPr="00D44235">
        <w:rPr>
          <w:color w:val="000000"/>
        </w:rPr>
        <w:t>, G. (2005, December 19). Incident management. Retrieved from https://www.us-cert.gov/bsi/articles/best-practices/incident-management/incident-management</w:t>
      </w:r>
    </w:p>
    <w:p w14:paraId="7D3C6FFE" w14:textId="77777777" w:rsidR="00D44235" w:rsidRDefault="00D44235" w:rsidP="00F16FAF">
      <w:pPr>
        <w:spacing w:line="480" w:lineRule="auto"/>
        <w:jc w:val="both"/>
        <w:rPr>
          <w:sz w:val="20"/>
          <w:szCs w:val="20"/>
        </w:rPr>
      </w:pPr>
    </w:p>
    <w:p w14:paraId="270532F6" w14:textId="0D80BCB8" w:rsidR="00665C21" w:rsidRDefault="00665C21" w:rsidP="00F16FAF">
      <w:pPr>
        <w:spacing w:line="480" w:lineRule="auto"/>
        <w:jc w:val="both"/>
        <w:rPr>
          <w:sz w:val="20"/>
          <w:szCs w:val="20"/>
        </w:rPr>
      </w:pPr>
    </w:p>
    <w:p w14:paraId="1ED49EE9" w14:textId="5DE10FBC" w:rsidR="00665C21" w:rsidRDefault="00665C21" w:rsidP="00F16FAF">
      <w:pPr>
        <w:spacing w:line="480" w:lineRule="auto"/>
        <w:jc w:val="both"/>
        <w:rPr>
          <w:sz w:val="20"/>
          <w:szCs w:val="20"/>
        </w:rPr>
      </w:pPr>
    </w:p>
    <w:p w14:paraId="1E2576E4" w14:textId="1E4EC945" w:rsidR="00665C21" w:rsidRDefault="00665C21" w:rsidP="00F16FAF">
      <w:pPr>
        <w:spacing w:line="480" w:lineRule="auto"/>
        <w:jc w:val="both"/>
        <w:rPr>
          <w:sz w:val="20"/>
          <w:szCs w:val="20"/>
        </w:rPr>
      </w:pPr>
    </w:p>
    <w:p w14:paraId="4E1B609B" w14:textId="45624101" w:rsidR="00665C21" w:rsidRDefault="00665C21" w:rsidP="00665C21">
      <w:pPr>
        <w:jc w:val="both"/>
        <w:rPr>
          <w:sz w:val="20"/>
          <w:szCs w:val="20"/>
        </w:rPr>
      </w:pPr>
    </w:p>
    <w:p w14:paraId="01198DA8" w14:textId="77777777" w:rsidR="00665C21" w:rsidRPr="003E0810" w:rsidRDefault="00665C21" w:rsidP="00F16FAF">
      <w:pPr>
        <w:spacing w:line="480" w:lineRule="auto"/>
        <w:jc w:val="both"/>
        <w:rPr>
          <w:sz w:val="20"/>
          <w:szCs w:val="20"/>
        </w:rPr>
      </w:pPr>
    </w:p>
    <w:sectPr w:rsidR="00665C21" w:rsidRPr="003E0810" w:rsidSect="00C27BB0">
      <w:headerReference w:type="even" r:id="rId9"/>
      <w:headerReference w:type="default" r:id="rId10"/>
      <w:headerReference w:type="first" r:id="rId11"/>
      <w:pgSz w:w="12240" w:h="15840"/>
      <w:pgMar w:top="1440" w:right="1440" w:bottom="1440" w:left="1440" w:header="1238"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D6A7B" w14:textId="77777777" w:rsidR="0096594B" w:rsidRDefault="0096594B">
      <w:r>
        <w:separator/>
      </w:r>
    </w:p>
  </w:endnote>
  <w:endnote w:type="continuationSeparator" w:id="0">
    <w:p w14:paraId="52ECA1C2" w14:textId="77777777" w:rsidR="0096594B" w:rsidRDefault="0096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71597" w14:textId="77777777" w:rsidR="0096594B" w:rsidRDefault="0096594B">
      <w:r>
        <w:rPr>
          <w:color w:val="000000"/>
        </w:rPr>
        <w:separator/>
      </w:r>
    </w:p>
  </w:footnote>
  <w:footnote w:type="continuationSeparator" w:id="0">
    <w:p w14:paraId="7C63AA9E" w14:textId="77777777" w:rsidR="0096594B" w:rsidRDefault="00965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3728499"/>
      <w:docPartObj>
        <w:docPartGallery w:val="Page Numbers (Top of Page)"/>
        <w:docPartUnique/>
      </w:docPartObj>
    </w:sdtPr>
    <w:sdtEndPr>
      <w:rPr>
        <w:rStyle w:val="PageNumber"/>
      </w:rPr>
    </w:sdtEndPr>
    <w:sdtContent>
      <w:p w14:paraId="06607B01" w14:textId="5AB71096" w:rsidR="00BA757A" w:rsidRDefault="00BA757A" w:rsidP="005964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3E686" w14:textId="77777777" w:rsidR="00BA757A" w:rsidRDefault="00BA757A" w:rsidP="00BA75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841179"/>
      <w:docPartObj>
        <w:docPartGallery w:val="Page Numbers (Top of Page)"/>
        <w:docPartUnique/>
      </w:docPartObj>
    </w:sdtPr>
    <w:sdtEndPr>
      <w:rPr>
        <w:rStyle w:val="PageNumber"/>
      </w:rPr>
    </w:sdtEndPr>
    <w:sdtContent>
      <w:p w14:paraId="1FC9ECB7" w14:textId="2CCB24E2"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D264C3" w14:textId="7314282B" w:rsidR="00872446" w:rsidRPr="00596415" w:rsidRDefault="00A85F82" w:rsidP="00596415">
    <w:pPr>
      <w:pStyle w:val="Header"/>
      <w:tabs>
        <w:tab w:val="left" w:pos="1440"/>
        <w:tab w:val="left" w:pos="8640"/>
      </w:tabs>
      <w:ind w:right="360"/>
      <w:rPr>
        <w:rFonts w:ascii="Times New Roman" w:hAnsi="Times New Roman" w:cs="Times New Roman"/>
      </w:rPr>
    </w:pPr>
    <w:r>
      <w:rPr>
        <w:rFonts w:ascii="Times New Roman" w:hAnsi="Times New Roman" w:cs="Times New Roman"/>
      </w:rPr>
      <w:t>INCIDENT MANAGEMENT RESPONSE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4193854"/>
      <w:docPartObj>
        <w:docPartGallery w:val="Page Numbers (Top of Page)"/>
        <w:docPartUnique/>
      </w:docPartObj>
    </w:sdtPr>
    <w:sdtEndPr>
      <w:rPr>
        <w:rStyle w:val="PageNumber"/>
      </w:rPr>
    </w:sdtEndPr>
    <w:sdtContent>
      <w:p w14:paraId="2CCF11B6" w14:textId="33A32911"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62A5F" w14:textId="193F9470" w:rsidR="009D4566" w:rsidRDefault="009D4566" w:rsidP="00D65BA1">
    <w:pPr>
      <w:pStyle w:val="Header"/>
      <w:ind w:right="720"/>
      <w:jc w:val="both"/>
    </w:pPr>
    <w:r w:rsidRPr="00596415">
      <w:rPr>
        <w:rFonts w:ascii="Times New Roman" w:hAnsi="Times New Roman" w:cs="Times New Roman"/>
      </w:rPr>
      <w:t xml:space="preserve">Running Head: </w:t>
    </w:r>
    <w:r w:rsidR="00A85F82">
      <w:rPr>
        <w:rFonts w:ascii="Times New Roman" w:hAnsi="Times New Roman" w:cs="Times New Roman"/>
      </w:rPr>
      <w:t>INCIDENT MANAGEMENT RESPONSE</w:t>
    </w:r>
  </w:p>
  <w:p w14:paraId="6B45847F" w14:textId="55DC1D87" w:rsidR="009D4566" w:rsidRDefault="009D4566" w:rsidP="009D4566">
    <w:pPr>
      <w:pStyle w:val="Header"/>
      <w:jc w:val="center"/>
    </w:pPr>
  </w:p>
  <w:p w14:paraId="6E748E5D" w14:textId="77777777" w:rsidR="009D4566" w:rsidRDefault="009D4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14D"/>
    <w:multiLevelType w:val="hybridMultilevel"/>
    <w:tmpl w:val="A3E2800E"/>
    <w:lvl w:ilvl="0" w:tplc="52A2A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4F9B"/>
    <w:multiLevelType w:val="hybridMultilevel"/>
    <w:tmpl w:val="EDA689D0"/>
    <w:lvl w:ilvl="0" w:tplc="04090001">
      <w:start w:val="1"/>
      <w:numFmt w:val="bullet"/>
      <w:lvlText w:val=""/>
      <w:lvlJc w:val="left"/>
      <w:pPr>
        <w:ind w:left="1426" w:hanging="360"/>
      </w:pPr>
      <w:rPr>
        <w:rFonts w:ascii="Symbol" w:eastAsia="Times New Roman" w:hAnsi="Symbol" w:cs="Times New Roman" w:hint="default"/>
      </w:rPr>
    </w:lvl>
    <w:lvl w:ilvl="1" w:tplc="04090003">
      <w:start w:val="1"/>
      <w:numFmt w:val="bullet"/>
      <w:lvlText w:val="o"/>
      <w:lvlJc w:val="left"/>
      <w:pPr>
        <w:ind w:left="2146" w:hanging="360"/>
      </w:pPr>
      <w:rPr>
        <w:rFonts w:ascii="Courier New" w:hAnsi="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F6A09F0"/>
    <w:multiLevelType w:val="hybridMultilevel"/>
    <w:tmpl w:val="ED2C3C2A"/>
    <w:lvl w:ilvl="0" w:tplc="0409000F">
      <w:start w:val="1"/>
      <w:numFmt w:val="decimal"/>
      <w:lvlText w:val="%1."/>
      <w:lvlJc w:val="left"/>
      <w:pPr>
        <w:ind w:left="9285" w:hanging="360"/>
      </w:pPr>
    </w:lvl>
    <w:lvl w:ilvl="1" w:tplc="04090019" w:tentative="1">
      <w:start w:val="1"/>
      <w:numFmt w:val="lowerLetter"/>
      <w:lvlText w:val="%2."/>
      <w:lvlJc w:val="left"/>
      <w:pPr>
        <w:ind w:left="10005" w:hanging="360"/>
      </w:pPr>
    </w:lvl>
    <w:lvl w:ilvl="2" w:tplc="0409001B" w:tentative="1">
      <w:start w:val="1"/>
      <w:numFmt w:val="lowerRoman"/>
      <w:lvlText w:val="%3."/>
      <w:lvlJc w:val="right"/>
      <w:pPr>
        <w:ind w:left="10725" w:hanging="180"/>
      </w:pPr>
    </w:lvl>
    <w:lvl w:ilvl="3" w:tplc="0409000F" w:tentative="1">
      <w:start w:val="1"/>
      <w:numFmt w:val="decimal"/>
      <w:lvlText w:val="%4."/>
      <w:lvlJc w:val="left"/>
      <w:pPr>
        <w:ind w:left="11445" w:hanging="360"/>
      </w:pPr>
    </w:lvl>
    <w:lvl w:ilvl="4" w:tplc="04090019" w:tentative="1">
      <w:start w:val="1"/>
      <w:numFmt w:val="lowerLetter"/>
      <w:lvlText w:val="%5."/>
      <w:lvlJc w:val="left"/>
      <w:pPr>
        <w:ind w:left="12165" w:hanging="360"/>
      </w:pPr>
    </w:lvl>
    <w:lvl w:ilvl="5" w:tplc="0409001B" w:tentative="1">
      <w:start w:val="1"/>
      <w:numFmt w:val="lowerRoman"/>
      <w:lvlText w:val="%6."/>
      <w:lvlJc w:val="right"/>
      <w:pPr>
        <w:ind w:left="12885" w:hanging="180"/>
      </w:pPr>
    </w:lvl>
    <w:lvl w:ilvl="6" w:tplc="0409000F" w:tentative="1">
      <w:start w:val="1"/>
      <w:numFmt w:val="decimal"/>
      <w:lvlText w:val="%7."/>
      <w:lvlJc w:val="left"/>
      <w:pPr>
        <w:ind w:left="13605" w:hanging="360"/>
      </w:pPr>
    </w:lvl>
    <w:lvl w:ilvl="7" w:tplc="04090019" w:tentative="1">
      <w:start w:val="1"/>
      <w:numFmt w:val="lowerLetter"/>
      <w:lvlText w:val="%8."/>
      <w:lvlJc w:val="left"/>
      <w:pPr>
        <w:ind w:left="14325" w:hanging="360"/>
      </w:pPr>
    </w:lvl>
    <w:lvl w:ilvl="8" w:tplc="0409001B" w:tentative="1">
      <w:start w:val="1"/>
      <w:numFmt w:val="lowerRoman"/>
      <w:lvlText w:val="%9."/>
      <w:lvlJc w:val="right"/>
      <w:pPr>
        <w:ind w:left="15045" w:hanging="180"/>
      </w:pPr>
    </w:lvl>
  </w:abstractNum>
  <w:abstractNum w:abstractNumId="3" w15:restartNumberingAfterBreak="0">
    <w:nsid w:val="4E096575"/>
    <w:multiLevelType w:val="hybridMultilevel"/>
    <w:tmpl w:val="A976977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74B527DE"/>
    <w:multiLevelType w:val="hybridMultilevel"/>
    <w:tmpl w:val="77CA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5"/>
    <w:rsid w:val="0003615B"/>
    <w:rsid w:val="0004375B"/>
    <w:rsid w:val="000460F5"/>
    <w:rsid w:val="000519B6"/>
    <w:rsid w:val="00076661"/>
    <w:rsid w:val="000B1F9C"/>
    <w:rsid w:val="000B3796"/>
    <w:rsid w:val="000C1A17"/>
    <w:rsid w:val="000C7AF8"/>
    <w:rsid w:val="000D2E85"/>
    <w:rsid w:val="000E1066"/>
    <w:rsid w:val="000F5CEF"/>
    <w:rsid w:val="000F674F"/>
    <w:rsid w:val="000F6E15"/>
    <w:rsid w:val="00100EFD"/>
    <w:rsid w:val="00104F7D"/>
    <w:rsid w:val="00110A76"/>
    <w:rsid w:val="00115998"/>
    <w:rsid w:val="0011630C"/>
    <w:rsid w:val="00150186"/>
    <w:rsid w:val="00157AC6"/>
    <w:rsid w:val="00164FAA"/>
    <w:rsid w:val="00166129"/>
    <w:rsid w:val="0016789E"/>
    <w:rsid w:val="00172C63"/>
    <w:rsid w:val="001846F3"/>
    <w:rsid w:val="00190008"/>
    <w:rsid w:val="00191AFC"/>
    <w:rsid w:val="00193E75"/>
    <w:rsid w:val="001A1350"/>
    <w:rsid w:val="001F0A0A"/>
    <w:rsid w:val="001F6A29"/>
    <w:rsid w:val="00210619"/>
    <w:rsid w:val="00213504"/>
    <w:rsid w:val="0022092B"/>
    <w:rsid w:val="0022160A"/>
    <w:rsid w:val="002237DE"/>
    <w:rsid w:val="002653DC"/>
    <w:rsid w:val="002776D0"/>
    <w:rsid w:val="00282352"/>
    <w:rsid w:val="0028391C"/>
    <w:rsid w:val="00291371"/>
    <w:rsid w:val="002921ED"/>
    <w:rsid w:val="00297F20"/>
    <w:rsid w:val="002A3DB3"/>
    <w:rsid w:val="002B6D2B"/>
    <w:rsid w:val="002C2F97"/>
    <w:rsid w:val="002C6C32"/>
    <w:rsid w:val="002C6CB0"/>
    <w:rsid w:val="002D0617"/>
    <w:rsid w:val="002E2C73"/>
    <w:rsid w:val="00322D88"/>
    <w:rsid w:val="00326E23"/>
    <w:rsid w:val="00334D3E"/>
    <w:rsid w:val="00350879"/>
    <w:rsid w:val="00361125"/>
    <w:rsid w:val="0038077C"/>
    <w:rsid w:val="00384EB9"/>
    <w:rsid w:val="003909C9"/>
    <w:rsid w:val="00392A45"/>
    <w:rsid w:val="003945C6"/>
    <w:rsid w:val="003C066A"/>
    <w:rsid w:val="003C509E"/>
    <w:rsid w:val="003E0810"/>
    <w:rsid w:val="0040161A"/>
    <w:rsid w:val="00406758"/>
    <w:rsid w:val="00406F9D"/>
    <w:rsid w:val="00407AB1"/>
    <w:rsid w:val="00417299"/>
    <w:rsid w:val="004176A6"/>
    <w:rsid w:val="004720A8"/>
    <w:rsid w:val="00486288"/>
    <w:rsid w:val="004938B9"/>
    <w:rsid w:val="004A3490"/>
    <w:rsid w:val="004C056A"/>
    <w:rsid w:val="004C4BD7"/>
    <w:rsid w:val="004D07F6"/>
    <w:rsid w:val="004F1A68"/>
    <w:rsid w:val="004F4B16"/>
    <w:rsid w:val="0050545C"/>
    <w:rsid w:val="00524BDA"/>
    <w:rsid w:val="00525820"/>
    <w:rsid w:val="00527EF5"/>
    <w:rsid w:val="005356AF"/>
    <w:rsid w:val="0054045C"/>
    <w:rsid w:val="00552FCA"/>
    <w:rsid w:val="00562349"/>
    <w:rsid w:val="00564F4E"/>
    <w:rsid w:val="00565166"/>
    <w:rsid w:val="0057256C"/>
    <w:rsid w:val="00576B8A"/>
    <w:rsid w:val="00587374"/>
    <w:rsid w:val="00587E92"/>
    <w:rsid w:val="00590528"/>
    <w:rsid w:val="00591B2D"/>
    <w:rsid w:val="00591B38"/>
    <w:rsid w:val="00596415"/>
    <w:rsid w:val="005B1448"/>
    <w:rsid w:val="005C0ED7"/>
    <w:rsid w:val="005D0BB8"/>
    <w:rsid w:val="005D0DFE"/>
    <w:rsid w:val="005E1273"/>
    <w:rsid w:val="005F1D5A"/>
    <w:rsid w:val="005F77BD"/>
    <w:rsid w:val="006057CD"/>
    <w:rsid w:val="00610280"/>
    <w:rsid w:val="00617666"/>
    <w:rsid w:val="00624474"/>
    <w:rsid w:val="00625D59"/>
    <w:rsid w:val="006271F2"/>
    <w:rsid w:val="0064681A"/>
    <w:rsid w:val="00660724"/>
    <w:rsid w:val="00665C21"/>
    <w:rsid w:val="006724DC"/>
    <w:rsid w:val="00676E55"/>
    <w:rsid w:val="00682E6D"/>
    <w:rsid w:val="00697BCC"/>
    <w:rsid w:val="006B5218"/>
    <w:rsid w:val="006D695F"/>
    <w:rsid w:val="006E08D7"/>
    <w:rsid w:val="006F00BB"/>
    <w:rsid w:val="006F2E86"/>
    <w:rsid w:val="0070708F"/>
    <w:rsid w:val="007074AA"/>
    <w:rsid w:val="00736287"/>
    <w:rsid w:val="00742822"/>
    <w:rsid w:val="00755E1B"/>
    <w:rsid w:val="0075678A"/>
    <w:rsid w:val="00764133"/>
    <w:rsid w:val="0077133B"/>
    <w:rsid w:val="00790E60"/>
    <w:rsid w:val="007A5497"/>
    <w:rsid w:val="007A7BDF"/>
    <w:rsid w:val="007B45F2"/>
    <w:rsid w:val="007C004F"/>
    <w:rsid w:val="007C6AFE"/>
    <w:rsid w:val="007F6F5A"/>
    <w:rsid w:val="00800988"/>
    <w:rsid w:val="00815E26"/>
    <w:rsid w:val="00847D60"/>
    <w:rsid w:val="00862260"/>
    <w:rsid w:val="0087199F"/>
    <w:rsid w:val="00872446"/>
    <w:rsid w:val="00875BF4"/>
    <w:rsid w:val="00886361"/>
    <w:rsid w:val="0089381D"/>
    <w:rsid w:val="008A7DD2"/>
    <w:rsid w:val="008C2561"/>
    <w:rsid w:val="008C2BFF"/>
    <w:rsid w:val="0090431A"/>
    <w:rsid w:val="00913F73"/>
    <w:rsid w:val="00916587"/>
    <w:rsid w:val="00933816"/>
    <w:rsid w:val="0096594B"/>
    <w:rsid w:val="0097049B"/>
    <w:rsid w:val="00983C39"/>
    <w:rsid w:val="00985D8E"/>
    <w:rsid w:val="00992A53"/>
    <w:rsid w:val="009A4817"/>
    <w:rsid w:val="009C2E94"/>
    <w:rsid w:val="009D4566"/>
    <w:rsid w:val="009D708F"/>
    <w:rsid w:val="00A23D4A"/>
    <w:rsid w:val="00A350F0"/>
    <w:rsid w:val="00A46975"/>
    <w:rsid w:val="00A50EDB"/>
    <w:rsid w:val="00A56DF8"/>
    <w:rsid w:val="00A623D5"/>
    <w:rsid w:val="00A74770"/>
    <w:rsid w:val="00A84858"/>
    <w:rsid w:val="00A85F82"/>
    <w:rsid w:val="00AB67CD"/>
    <w:rsid w:val="00AB6F91"/>
    <w:rsid w:val="00AC2B48"/>
    <w:rsid w:val="00AD21CF"/>
    <w:rsid w:val="00AE5472"/>
    <w:rsid w:val="00AF5803"/>
    <w:rsid w:val="00B01CCF"/>
    <w:rsid w:val="00B412A6"/>
    <w:rsid w:val="00B4352B"/>
    <w:rsid w:val="00B44085"/>
    <w:rsid w:val="00B657D9"/>
    <w:rsid w:val="00B6683F"/>
    <w:rsid w:val="00B74E7A"/>
    <w:rsid w:val="00B8249E"/>
    <w:rsid w:val="00B927FE"/>
    <w:rsid w:val="00B976E5"/>
    <w:rsid w:val="00BA757A"/>
    <w:rsid w:val="00BC12DB"/>
    <w:rsid w:val="00BD4573"/>
    <w:rsid w:val="00BF23E9"/>
    <w:rsid w:val="00C1562F"/>
    <w:rsid w:val="00C27BB0"/>
    <w:rsid w:val="00C33B5E"/>
    <w:rsid w:val="00C360C9"/>
    <w:rsid w:val="00C4065A"/>
    <w:rsid w:val="00C528FC"/>
    <w:rsid w:val="00C5590F"/>
    <w:rsid w:val="00C629A8"/>
    <w:rsid w:val="00C84A1E"/>
    <w:rsid w:val="00CA0C3A"/>
    <w:rsid w:val="00CA14E8"/>
    <w:rsid w:val="00CA2834"/>
    <w:rsid w:val="00CA693A"/>
    <w:rsid w:val="00CE021E"/>
    <w:rsid w:val="00CE5FD1"/>
    <w:rsid w:val="00CF5673"/>
    <w:rsid w:val="00D007B6"/>
    <w:rsid w:val="00D23ADB"/>
    <w:rsid w:val="00D33CBC"/>
    <w:rsid w:val="00D44235"/>
    <w:rsid w:val="00D447E4"/>
    <w:rsid w:val="00D5136B"/>
    <w:rsid w:val="00D65BA1"/>
    <w:rsid w:val="00D85C2D"/>
    <w:rsid w:val="00D93B35"/>
    <w:rsid w:val="00DA1DB8"/>
    <w:rsid w:val="00DA4CF6"/>
    <w:rsid w:val="00DA71D7"/>
    <w:rsid w:val="00DC2D72"/>
    <w:rsid w:val="00DC326D"/>
    <w:rsid w:val="00DD0624"/>
    <w:rsid w:val="00DE1C9A"/>
    <w:rsid w:val="00E02E63"/>
    <w:rsid w:val="00E2107F"/>
    <w:rsid w:val="00E3675B"/>
    <w:rsid w:val="00E41ADA"/>
    <w:rsid w:val="00E42271"/>
    <w:rsid w:val="00E4382F"/>
    <w:rsid w:val="00E50961"/>
    <w:rsid w:val="00E6273E"/>
    <w:rsid w:val="00E63699"/>
    <w:rsid w:val="00E66760"/>
    <w:rsid w:val="00E70DBA"/>
    <w:rsid w:val="00E736DC"/>
    <w:rsid w:val="00E8098C"/>
    <w:rsid w:val="00E907BE"/>
    <w:rsid w:val="00E91F3C"/>
    <w:rsid w:val="00E92E4E"/>
    <w:rsid w:val="00EB6313"/>
    <w:rsid w:val="00EF0D08"/>
    <w:rsid w:val="00F16FAF"/>
    <w:rsid w:val="00F24AD1"/>
    <w:rsid w:val="00F2571E"/>
    <w:rsid w:val="00F37F72"/>
    <w:rsid w:val="00F55E07"/>
    <w:rsid w:val="00F67F42"/>
    <w:rsid w:val="00F74559"/>
    <w:rsid w:val="00F877A3"/>
    <w:rsid w:val="00F878E6"/>
    <w:rsid w:val="00FA089F"/>
    <w:rsid w:val="00FA6991"/>
    <w:rsid w:val="00FD09F3"/>
    <w:rsid w:val="00FD1475"/>
    <w:rsid w:val="00FF2BBA"/>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29C7"/>
  <w15:docId w15:val="{C42979C8-0260-4B21-93BD-ED3A70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72"/>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624474"/>
    <w:rPr>
      <w:b/>
      <w:bCs/>
    </w:rPr>
  </w:style>
  <w:style w:type="paragraph" w:styleId="ListParagraph">
    <w:name w:val="List Paragraph"/>
    <w:basedOn w:val="Normal"/>
    <w:uiPriority w:val="34"/>
    <w:qFormat/>
    <w:rsid w:val="00334D3E"/>
    <w:pPr>
      <w:ind w:left="720"/>
      <w:contextualSpacing/>
    </w:pPr>
    <w:rPr>
      <w:rFonts w:ascii="Liberation Serif" w:eastAsia="Noto Serif CJK SC" w:hAnsi="Liberation Serif" w:cs="Mangal"/>
      <w:kern w:val="3"/>
      <w:szCs w:val="21"/>
      <w:lang w:eastAsia="zh-CN" w:bidi="hi-IN"/>
    </w:rPr>
  </w:style>
  <w:style w:type="paragraph" w:styleId="Header">
    <w:name w:val="header"/>
    <w:basedOn w:val="Normal"/>
    <w:link w:val="HeaderChar"/>
    <w:uiPriority w:val="99"/>
    <w:unhideWhenUsed/>
    <w:rsid w:val="00872446"/>
    <w:pPr>
      <w:tabs>
        <w:tab w:val="center" w:pos="4680"/>
        <w:tab w:val="right" w:pos="9360"/>
      </w:tabs>
    </w:pPr>
    <w:rPr>
      <w:rFonts w:ascii="Liberation Serif" w:eastAsia="Noto Serif CJK SC" w:hAnsi="Liberation Serif" w:cs="Mangal"/>
      <w:kern w:val="3"/>
      <w:szCs w:val="21"/>
      <w:lang w:eastAsia="zh-CN" w:bidi="hi-IN"/>
    </w:rPr>
  </w:style>
  <w:style w:type="character" w:customStyle="1" w:styleId="HeaderChar">
    <w:name w:val="Header Char"/>
    <w:basedOn w:val="DefaultParagraphFont"/>
    <w:link w:val="Header"/>
    <w:uiPriority w:val="99"/>
    <w:rsid w:val="00872446"/>
    <w:rPr>
      <w:rFonts w:cs="Mangal"/>
      <w:szCs w:val="21"/>
    </w:rPr>
  </w:style>
  <w:style w:type="paragraph" w:styleId="Footer">
    <w:name w:val="footer"/>
    <w:basedOn w:val="Normal"/>
    <w:link w:val="FooterChar"/>
    <w:uiPriority w:val="99"/>
    <w:unhideWhenUsed/>
    <w:rsid w:val="00872446"/>
    <w:pPr>
      <w:tabs>
        <w:tab w:val="center" w:pos="4680"/>
        <w:tab w:val="right" w:pos="9360"/>
      </w:tabs>
    </w:pPr>
    <w:rPr>
      <w:rFonts w:ascii="Liberation Serif" w:eastAsia="Noto Serif CJK SC" w:hAnsi="Liberation Serif" w:cs="Mangal"/>
      <w:kern w:val="3"/>
      <w:szCs w:val="21"/>
      <w:lang w:eastAsia="zh-CN" w:bidi="hi-IN"/>
    </w:rPr>
  </w:style>
  <w:style w:type="character" w:customStyle="1" w:styleId="FooterChar">
    <w:name w:val="Footer Char"/>
    <w:basedOn w:val="DefaultParagraphFont"/>
    <w:link w:val="Footer"/>
    <w:uiPriority w:val="99"/>
    <w:rsid w:val="00872446"/>
    <w:rPr>
      <w:rFonts w:cs="Mangal"/>
      <w:szCs w:val="21"/>
    </w:rPr>
  </w:style>
  <w:style w:type="character" w:styleId="Hyperlink">
    <w:name w:val="Hyperlink"/>
    <w:basedOn w:val="DefaultParagraphFont"/>
    <w:uiPriority w:val="99"/>
    <w:unhideWhenUsed/>
    <w:rsid w:val="00916587"/>
    <w:rPr>
      <w:color w:val="0000FF"/>
      <w:u w:val="single"/>
    </w:rPr>
  </w:style>
  <w:style w:type="character" w:styleId="UnresolvedMention">
    <w:name w:val="Unresolved Mention"/>
    <w:basedOn w:val="DefaultParagraphFont"/>
    <w:uiPriority w:val="99"/>
    <w:semiHidden/>
    <w:unhideWhenUsed/>
    <w:rsid w:val="00282352"/>
    <w:rPr>
      <w:color w:val="605E5C"/>
      <w:shd w:val="clear" w:color="auto" w:fill="E1DFDD"/>
    </w:rPr>
  </w:style>
  <w:style w:type="character" w:styleId="FollowedHyperlink">
    <w:name w:val="FollowedHyperlink"/>
    <w:basedOn w:val="DefaultParagraphFont"/>
    <w:uiPriority w:val="99"/>
    <w:semiHidden/>
    <w:unhideWhenUsed/>
    <w:rsid w:val="00282352"/>
    <w:rPr>
      <w:color w:val="954F72" w:themeColor="followedHyperlink"/>
      <w:u w:val="single"/>
    </w:rPr>
  </w:style>
  <w:style w:type="paragraph" w:customStyle="1" w:styleId="cpformat">
    <w:name w:val="cpformat"/>
    <w:basedOn w:val="Normal"/>
    <w:rsid w:val="00EB6313"/>
    <w:pPr>
      <w:spacing w:before="100" w:beforeAutospacing="1" w:after="100" w:afterAutospacing="1"/>
    </w:pPr>
  </w:style>
  <w:style w:type="character" w:styleId="PageNumber">
    <w:name w:val="page number"/>
    <w:basedOn w:val="DefaultParagraphFont"/>
    <w:uiPriority w:val="99"/>
    <w:semiHidden/>
    <w:unhideWhenUsed/>
    <w:rsid w:val="00BA757A"/>
  </w:style>
  <w:style w:type="character" w:styleId="Emphasis">
    <w:name w:val="Emphasis"/>
    <w:basedOn w:val="DefaultParagraphFont"/>
    <w:uiPriority w:val="20"/>
    <w:qFormat/>
    <w:rsid w:val="00E736DC"/>
    <w:rPr>
      <w:i/>
      <w:iCs/>
    </w:rPr>
  </w:style>
  <w:style w:type="paragraph" w:styleId="BalloonText">
    <w:name w:val="Balloon Text"/>
    <w:basedOn w:val="Normal"/>
    <w:link w:val="BalloonTextChar"/>
    <w:uiPriority w:val="99"/>
    <w:semiHidden/>
    <w:unhideWhenUsed/>
    <w:rsid w:val="00D85C2D"/>
    <w:rPr>
      <w:sz w:val="18"/>
      <w:szCs w:val="18"/>
    </w:rPr>
  </w:style>
  <w:style w:type="character" w:customStyle="1" w:styleId="BalloonTextChar">
    <w:name w:val="Balloon Text Char"/>
    <w:basedOn w:val="DefaultParagraphFont"/>
    <w:link w:val="BalloonText"/>
    <w:uiPriority w:val="99"/>
    <w:semiHidden/>
    <w:rsid w:val="00D85C2D"/>
    <w:rPr>
      <w:rFonts w:ascii="Times New Roman" w:eastAsia="Times New Roman" w:hAnsi="Times New Roman" w:cs="Times New Roman"/>
      <w:kern w:val="0"/>
      <w:sz w:val="18"/>
      <w:szCs w:val="18"/>
      <w:lang w:eastAsia="en-US" w:bidi="ar-SA"/>
    </w:rPr>
  </w:style>
  <w:style w:type="paragraph" w:styleId="NormalWeb">
    <w:name w:val="Normal (Web)"/>
    <w:basedOn w:val="Normal"/>
    <w:uiPriority w:val="99"/>
    <w:semiHidden/>
    <w:unhideWhenUsed/>
    <w:rsid w:val="0004375B"/>
    <w:pPr>
      <w:spacing w:before="100" w:beforeAutospacing="1" w:after="100" w:afterAutospacing="1"/>
    </w:pPr>
  </w:style>
  <w:style w:type="table" w:styleId="TableGrid">
    <w:name w:val="Table Grid"/>
    <w:basedOn w:val="TableNormal"/>
    <w:uiPriority w:val="39"/>
    <w:rsid w:val="00157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04">
      <w:bodyDiv w:val="1"/>
      <w:marLeft w:val="0"/>
      <w:marRight w:val="0"/>
      <w:marTop w:val="0"/>
      <w:marBottom w:val="0"/>
      <w:divBdr>
        <w:top w:val="none" w:sz="0" w:space="0" w:color="auto"/>
        <w:left w:val="none" w:sz="0" w:space="0" w:color="auto"/>
        <w:bottom w:val="none" w:sz="0" w:space="0" w:color="auto"/>
        <w:right w:val="none" w:sz="0" w:space="0" w:color="auto"/>
      </w:divBdr>
    </w:div>
    <w:div w:id="121659905">
      <w:bodyDiv w:val="1"/>
      <w:marLeft w:val="0"/>
      <w:marRight w:val="0"/>
      <w:marTop w:val="0"/>
      <w:marBottom w:val="0"/>
      <w:divBdr>
        <w:top w:val="none" w:sz="0" w:space="0" w:color="auto"/>
        <w:left w:val="none" w:sz="0" w:space="0" w:color="auto"/>
        <w:bottom w:val="none" w:sz="0" w:space="0" w:color="auto"/>
        <w:right w:val="none" w:sz="0" w:space="0" w:color="auto"/>
      </w:divBdr>
    </w:div>
    <w:div w:id="186793939">
      <w:bodyDiv w:val="1"/>
      <w:marLeft w:val="0"/>
      <w:marRight w:val="0"/>
      <w:marTop w:val="0"/>
      <w:marBottom w:val="0"/>
      <w:divBdr>
        <w:top w:val="none" w:sz="0" w:space="0" w:color="auto"/>
        <w:left w:val="none" w:sz="0" w:space="0" w:color="auto"/>
        <w:bottom w:val="none" w:sz="0" w:space="0" w:color="auto"/>
        <w:right w:val="none" w:sz="0" w:space="0" w:color="auto"/>
      </w:divBdr>
    </w:div>
    <w:div w:id="310016988">
      <w:bodyDiv w:val="1"/>
      <w:marLeft w:val="0"/>
      <w:marRight w:val="0"/>
      <w:marTop w:val="0"/>
      <w:marBottom w:val="0"/>
      <w:divBdr>
        <w:top w:val="none" w:sz="0" w:space="0" w:color="auto"/>
        <w:left w:val="none" w:sz="0" w:space="0" w:color="auto"/>
        <w:bottom w:val="none" w:sz="0" w:space="0" w:color="auto"/>
        <w:right w:val="none" w:sz="0" w:space="0" w:color="auto"/>
      </w:divBdr>
    </w:div>
    <w:div w:id="399913531">
      <w:bodyDiv w:val="1"/>
      <w:marLeft w:val="0"/>
      <w:marRight w:val="0"/>
      <w:marTop w:val="0"/>
      <w:marBottom w:val="0"/>
      <w:divBdr>
        <w:top w:val="none" w:sz="0" w:space="0" w:color="auto"/>
        <w:left w:val="none" w:sz="0" w:space="0" w:color="auto"/>
        <w:bottom w:val="none" w:sz="0" w:space="0" w:color="auto"/>
        <w:right w:val="none" w:sz="0" w:space="0" w:color="auto"/>
      </w:divBdr>
    </w:div>
    <w:div w:id="424040362">
      <w:bodyDiv w:val="1"/>
      <w:marLeft w:val="0"/>
      <w:marRight w:val="0"/>
      <w:marTop w:val="0"/>
      <w:marBottom w:val="0"/>
      <w:divBdr>
        <w:top w:val="none" w:sz="0" w:space="0" w:color="auto"/>
        <w:left w:val="none" w:sz="0" w:space="0" w:color="auto"/>
        <w:bottom w:val="none" w:sz="0" w:space="0" w:color="auto"/>
        <w:right w:val="none" w:sz="0" w:space="0" w:color="auto"/>
      </w:divBdr>
    </w:div>
    <w:div w:id="471600423">
      <w:bodyDiv w:val="1"/>
      <w:marLeft w:val="0"/>
      <w:marRight w:val="0"/>
      <w:marTop w:val="0"/>
      <w:marBottom w:val="0"/>
      <w:divBdr>
        <w:top w:val="none" w:sz="0" w:space="0" w:color="auto"/>
        <w:left w:val="none" w:sz="0" w:space="0" w:color="auto"/>
        <w:bottom w:val="none" w:sz="0" w:space="0" w:color="auto"/>
        <w:right w:val="none" w:sz="0" w:space="0" w:color="auto"/>
      </w:divBdr>
    </w:div>
    <w:div w:id="483156764">
      <w:bodyDiv w:val="1"/>
      <w:marLeft w:val="0"/>
      <w:marRight w:val="0"/>
      <w:marTop w:val="0"/>
      <w:marBottom w:val="0"/>
      <w:divBdr>
        <w:top w:val="none" w:sz="0" w:space="0" w:color="auto"/>
        <w:left w:val="none" w:sz="0" w:space="0" w:color="auto"/>
        <w:bottom w:val="none" w:sz="0" w:space="0" w:color="auto"/>
        <w:right w:val="none" w:sz="0" w:space="0" w:color="auto"/>
      </w:divBdr>
    </w:div>
    <w:div w:id="663437407">
      <w:bodyDiv w:val="1"/>
      <w:marLeft w:val="0"/>
      <w:marRight w:val="0"/>
      <w:marTop w:val="0"/>
      <w:marBottom w:val="0"/>
      <w:divBdr>
        <w:top w:val="none" w:sz="0" w:space="0" w:color="auto"/>
        <w:left w:val="none" w:sz="0" w:space="0" w:color="auto"/>
        <w:bottom w:val="none" w:sz="0" w:space="0" w:color="auto"/>
        <w:right w:val="none" w:sz="0" w:space="0" w:color="auto"/>
      </w:divBdr>
    </w:div>
    <w:div w:id="678700849">
      <w:bodyDiv w:val="1"/>
      <w:marLeft w:val="0"/>
      <w:marRight w:val="0"/>
      <w:marTop w:val="0"/>
      <w:marBottom w:val="0"/>
      <w:divBdr>
        <w:top w:val="none" w:sz="0" w:space="0" w:color="auto"/>
        <w:left w:val="none" w:sz="0" w:space="0" w:color="auto"/>
        <w:bottom w:val="none" w:sz="0" w:space="0" w:color="auto"/>
        <w:right w:val="none" w:sz="0" w:space="0" w:color="auto"/>
      </w:divBdr>
    </w:div>
    <w:div w:id="730545490">
      <w:bodyDiv w:val="1"/>
      <w:marLeft w:val="0"/>
      <w:marRight w:val="0"/>
      <w:marTop w:val="0"/>
      <w:marBottom w:val="0"/>
      <w:divBdr>
        <w:top w:val="none" w:sz="0" w:space="0" w:color="auto"/>
        <w:left w:val="none" w:sz="0" w:space="0" w:color="auto"/>
        <w:bottom w:val="none" w:sz="0" w:space="0" w:color="auto"/>
        <w:right w:val="none" w:sz="0" w:space="0" w:color="auto"/>
      </w:divBdr>
    </w:div>
    <w:div w:id="747776249">
      <w:bodyDiv w:val="1"/>
      <w:marLeft w:val="0"/>
      <w:marRight w:val="0"/>
      <w:marTop w:val="0"/>
      <w:marBottom w:val="0"/>
      <w:divBdr>
        <w:top w:val="none" w:sz="0" w:space="0" w:color="auto"/>
        <w:left w:val="none" w:sz="0" w:space="0" w:color="auto"/>
        <w:bottom w:val="none" w:sz="0" w:space="0" w:color="auto"/>
        <w:right w:val="none" w:sz="0" w:space="0" w:color="auto"/>
      </w:divBdr>
    </w:div>
    <w:div w:id="749811129">
      <w:bodyDiv w:val="1"/>
      <w:marLeft w:val="0"/>
      <w:marRight w:val="0"/>
      <w:marTop w:val="0"/>
      <w:marBottom w:val="0"/>
      <w:divBdr>
        <w:top w:val="none" w:sz="0" w:space="0" w:color="auto"/>
        <w:left w:val="none" w:sz="0" w:space="0" w:color="auto"/>
        <w:bottom w:val="none" w:sz="0" w:space="0" w:color="auto"/>
        <w:right w:val="none" w:sz="0" w:space="0" w:color="auto"/>
      </w:divBdr>
    </w:div>
    <w:div w:id="828861735">
      <w:bodyDiv w:val="1"/>
      <w:marLeft w:val="0"/>
      <w:marRight w:val="0"/>
      <w:marTop w:val="0"/>
      <w:marBottom w:val="0"/>
      <w:divBdr>
        <w:top w:val="none" w:sz="0" w:space="0" w:color="auto"/>
        <w:left w:val="none" w:sz="0" w:space="0" w:color="auto"/>
        <w:bottom w:val="none" w:sz="0" w:space="0" w:color="auto"/>
        <w:right w:val="none" w:sz="0" w:space="0" w:color="auto"/>
      </w:divBdr>
    </w:div>
    <w:div w:id="914164274">
      <w:bodyDiv w:val="1"/>
      <w:marLeft w:val="0"/>
      <w:marRight w:val="0"/>
      <w:marTop w:val="0"/>
      <w:marBottom w:val="0"/>
      <w:divBdr>
        <w:top w:val="none" w:sz="0" w:space="0" w:color="auto"/>
        <w:left w:val="none" w:sz="0" w:space="0" w:color="auto"/>
        <w:bottom w:val="none" w:sz="0" w:space="0" w:color="auto"/>
        <w:right w:val="none" w:sz="0" w:space="0" w:color="auto"/>
      </w:divBdr>
    </w:div>
    <w:div w:id="948514908">
      <w:bodyDiv w:val="1"/>
      <w:marLeft w:val="0"/>
      <w:marRight w:val="0"/>
      <w:marTop w:val="0"/>
      <w:marBottom w:val="0"/>
      <w:divBdr>
        <w:top w:val="none" w:sz="0" w:space="0" w:color="auto"/>
        <w:left w:val="none" w:sz="0" w:space="0" w:color="auto"/>
        <w:bottom w:val="none" w:sz="0" w:space="0" w:color="auto"/>
        <w:right w:val="none" w:sz="0" w:space="0" w:color="auto"/>
      </w:divBdr>
    </w:div>
    <w:div w:id="1129977108">
      <w:bodyDiv w:val="1"/>
      <w:marLeft w:val="0"/>
      <w:marRight w:val="0"/>
      <w:marTop w:val="0"/>
      <w:marBottom w:val="0"/>
      <w:divBdr>
        <w:top w:val="none" w:sz="0" w:space="0" w:color="auto"/>
        <w:left w:val="none" w:sz="0" w:space="0" w:color="auto"/>
        <w:bottom w:val="none" w:sz="0" w:space="0" w:color="auto"/>
        <w:right w:val="none" w:sz="0" w:space="0" w:color="auto"/>
      </w:divBdr>
    </w:div>
    <w:div w:id="1186674402">
      <w:bodyDiv w:val="1"/>
      <w:marLeft w:val="0"/>
      <w:marRight w:val="0"/>
      <w:marTop w:val="0"/>
      <w:marBottom w:val="0"/>
      <w:divBdr>
        <w:top w:val="none" w:sz="0" w:space="0" w:color="auto"/>
        <w:left w:val="none" w:sz="0" w:space="0" w:color="auto"/>
        <w:bottom w:val="none" w:sz="0" w:space="0" w:color="auto"/>
        <w:right w:val="none" w:sz="0" w:space="0" w:color="auto"/>
      </w:divBdr>
    </w:div>
    <w:div w:id="1222669622">
      <w:bodyDiv w:val="1"/>
      <w:marLeft w:val="0"/>
      <w:marRight w:val="0"/>
      <w:marTop w:val="0"/>
      <w:marBottom w:val="0"/>
      <w:divBdr>
        <w:top w:val="none" w:sz="0" w:space="0" w:color="auto"/>
        <w:left w:val="none" w:sz="0" w:space="0" w:color="auto"/>
        <w:bottom w:val="none" w:sz="0" w:space="0" w:color="auto"/>
        <w:right w:val="none" w:sz="0" w:space="0" w:color="auto"/>
      </w:divBdr>
    </w:div>
    <w:div w:id="1316959917">
      <w:bodyDiv w:val="1"/>
      <w:marLeft w:val="0"/>
      <w:marRight w:val="0"/>
      <w:marTop w:val="0"/>
      <w:marBottom w:val="0"/>
      <w:divBdr>
        <w:top w:val="none" w:sz="0" w:space="0" w:color="auto"/>
        <w:left w:val="none" w:sz="0" w:space="0" w:color="auto"/>
        <w:bottom w:val="none" w:sz="0" w:space="0" w:color="auto"/>
        <w:right w:val="none" w:sz="0" w:space="0" w:color="auto"/>
      </w:divBdr>
    </w:div>
    <w:div w:id="1339767717">
      <w:bodyDiv w:val="1"/>
      <w:marLeft w:val="0"/>
      <w:marRight w:val="0"/>
      <w:marTop w:val="0"/>
      <w:marBottom w:val="0"/>
      <w:divBdr>
        <w:top w:val="none" w:sz="0" w:space="0" w:color="auto"/>
        <w:left w:val="none" w:sz="0" w:space="0" w:color="auto"/>
        <w:bottom w:val="none" w:sz="0" w:space="0" w:color="auto"/>
        <w:right w:val="none" w:sz="0" w:space="0" w:color="auto"/>
      </w:divBdr>
    </w:div>
    <w:div w:id="1421759260">
      <w:bodyDiv w:val="1"/>
      <w:marLeft w:val="0"/>
      <w:marRight w:val="0"/>
      <w:marTop w:val="0"/>
      <w:marBottom w:val="0"/>
      <w:divBdr>
        <w:top w:val="none" w:sz="0" w:space="0" w:color="auto"/>
        <w:left w:val="none" w:sz="0" w:space="0" w:color="auto"/>
        <w:bottom w:val="none" w:sz="0" w:space="0" w:color="auto"/>
        <w:right w:val="none" w:sz="0" w:space="0" w:color="auto"/>
      </w:divBdr>
    </w:div>
    <w:div w:id="1471971285">
      <w:bodyDiv w:val="1"/>
      <w:marLeft w:val="0"/>
      <w:marRight w:val="0"/>
      <w:marTop w:val="0"/>
      <w:marBottom w:val="0"/>
      <w:divBdr>
        <w:top w:val="none" w:sz="0" w:space="0" w:color="auto"/>
        <w:left w:val="none" w:sz="0" w:space="0" w:color="auto"/>
        <w:bottom w:val="none" w:sz="0" w:space="0" w:color="auto"/>
        <w:right w:val="none" w:sz="0" w:space="0" w:color="auto"/>
      </w:divBdr>
    </w:div>
    <w:div w:id="1612542516">
      <w:bodyDiv w:val="1"/>
      <w:marLeft w:val="0"/>
      <w:marRight w:val="0"/>
      <w:marTop w:val="0"/>
      <w:marBottom w:val="0"/>
      <w:divBdr>
        <w:top w:val="none" w:sz="0" w:space="0" w:color="auto"/>
        <w:left w:val="none" w:sz="0" w:space="0" w:color="auto"/>
        <w:bottom w:val="none" w:sz="0" w:space="0" w:color="auto"/>
        <w:right w:val="none" w:sz="0" w:space="0" w:color="auto"/>
      </w:divBdr>
    </w:div>
    <w:div w:id="1616405379">
      <w:bodyDiv w:val="1"/>
      <w:marLeft w:val="0"/>
      <w:marRight w:val="0"/>
      <w:marTop w:val="0"/>
      <w:marBottom w:val="0"/>
      <w:divBdr>
        <w:top w:val="none" w:sz="0" w:space="0" w:color="auto"/>
        <w:left w:val="none" w:sz="0" w:space="0" w:color="auto"/>
        <w:bottom w:val="none" w:sz="0" w:space="0" w:color="auto"/>
        <w:right w:val="none" w:sz="0" w:space="0" w:color="auto"/>
      </w:divBdr>
    </w:div>
    <w:div w:id="1761364487">
      <w:bodyDiv w:val="1"/>
      <w:marLeft w:val="0"/>
      <w:marRight w:val="0"/>
      <w:marTop w:val="0"/>
      <w:marBottom w:val="0"/>
      <w:divBdr>
        <w:top w:val="none" w:sz="0" w:space="0" w:color="auto"/>
        <w:left w:val="none" w:sz="0" w:space="0" w:color="auto"/>
        <w:bottom w:val="none" w:sz="0" w:space="0" w:color="auto"/>
        <w:right w:val="none" w:sz="0" w:space="0" w:color="auto"/>
      </w:divBdr>
    </w:div>
    <w:div w:id="1938710367">
      <w:bodyDiv w:val="1"/>
      <w:marLeft w:val="0"/>
      <w:marRight w:val="0"/>
      <w:marTop w:val="0"/>
      <w:marBottom w:val="0"/>
      <w:divBdr>
        <w:top w:val="none" w:sz="0" w:space="0" w:color="auto"/>
        <w:left w:val="none" w:sz="0" w:space="0" w:color="auto"/>
        <w:bottom w:val="none" w:sz="0" w:space="0" w:color="auto"/>
        <w:right w:val="none" w:sz="0" w:space="0" w:color="auto"/>
      </w:divBdr>
    </w:div>
    <w:div w:id="1997604454">
      <w:bodyDiv w:val="1"/>
      <w:marLeft w:val="0"/>
      <w:marRight w:val="0"/>
      <w:marTop w:val="0"/>
      <w:marBottom w:val="0"/>
      <w:divBdr>
        <w:top w:val="none" w:sz="0" w:space="0" w:color="auto"/>
        <w:left w:val="none" w:sz="0" w:space="0" w:color="auto"/>
        <w:bottom w:val="none" w:sz="0" w:space="0" w:color="auto"/>
        <w:right w:val="none" w:sz="0" w:space="0" w:color="auto"/>
      </w:divBdr>
    </w:div>
    <w:div w:id="212634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21A3-A313-AF42-AC6B-ACF9BCB0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Ben Brandhorst</cp:lastModifiedBy>
  <cp:revision>3</cp:revision>
  <cp:lastPrinted>2020-02-02T05:19:00Z</cp:lastPrinted>
  <dcterms:created xsi:type="dcterms:W3CDTF">2020-03-08T16:37:00Z</dcterms:created>
  <dcterms:modified xsi:type="dcterms:W3CDTF">2020-03-08T19:27:00Z</dcterms:modified>
</cp:coreProperties>
</file>