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300" w:lineRule="auto"/>
        <w:pBdr>
          <w:bottom w:val="single" w:sz="32" w:space="1" w:color="D92D3A"/>
        </w:pBdr>
      </w:pPr>
    </w:p>
    <w:p>
      <w:pPr>
        <w:pStyle w:val="Eyebrow"/>
        <w:keepNext w:val="0"/>
        <w:spacing w:before="0" w:after="200" w:line="300" w:lineRule="auto"/>
      </w:pPr>
      <w:r>
        <w:t>BATCH 2  /  INDUSTRY RESEARCH &amp; BUILD GATE</w:t>
      </w:r>
    </w:p>
    <w:p>
      <w:pPr>
        <w:pStyle w:val="Title"/>
        <w:keepNext w:val="0"/>
        <w:spacing w:before="0" w:after="240" w:line="259" w:lineRule="auto"/>
      </w:pPr>
      <w:r>
        <w:rPr>
          <w:rFonts w:ascii="Noto Sans CJK SC" w:hAnsi="Noto Sans CJK SC" w:eastAsia="Noto Sans CJK SC"/>
          <w:b/>
          <w:color w:val="17171B"/>
          <w:sz w:val="60"/>
        </w:rPr>
        <w:t>网易云音乐推荐控制</w:t>
      </w:r>
      <w:r>
        <w:rPr>
          <w:rFonts w:ascii="Noto Sans CJK SC" w:hAnsi="Noto Sans CJK SC" w:eastAsia="Noto Sans CJK SC"/>
          <w:b/>
          <w:color w:val="17171B"/>
          <w:sz w:val="60"/>
        </w:rPr>
        <w:br/>
        <w:t>行业研究补充与审批版</w:t>
      </w:r>
    </w:p>
    <w:p>
      <w:pPr>
        <w:pStyle w:val="Lead"/>
        <w:keepNext w:val="0"/>
        <w:spacing w:before="0" w:after="360" w:line="300" w:lineRule="auto"/>
      </w:pPr>
      <w:r>
        <w:t>用于公开求职作品集与本地 HTML Beta 的统一决策包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17171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F1F2F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7171B"/>
                <w:sz w:val="20"/>
              </w:rPr>
              <w:t>当前状态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Batch 1 的 PRD 与 HTML 规格已完成。本文件只审批 Batch 2 新增的行业研究、AI 产品边界、Codex 实施方法和质量门槛；尚未开始应用代码，也未授权真实 AI、公开部署或远端推送。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2268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版本 / 日期</w:t>
            </w:r>
          </w:p>
        </w:tc>
        <w:tc>
          <w:tcPr>
            <w:tcW w:type="dxa" w:w="680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v1 / 2026-09-05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核心范围</w:t>
            </w:r>
          </w:p>
        </w:tc>
        <w:tc>
          <w:tcPr>
            <w:tcW w:type="dxa" w:w="6803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R03 推荐控制 + R04 临时收听；R07 为 P2 AI 实验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研究原则</w:t>
            </w:r>
          </w:p>
        </w:tc>
        <w:tc>
          <w:tcPr>
            <w:tcW w:type="dxa" w:w="680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最新资料优先；旧资料只保留仍有效的标准或基础方法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证据规则</w:t>
            </w:r>
          </w:p>
        </w:tc>
        <w:tc>
          <w:tcPr>
            <w:tcW w:type="dxa" w:w="6803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外部来源支持设计决策，不等于用户研究、网易内部规则或本项目结果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推荐审批</w:t>
            </w:r>
          </w:p>
        </w:tc>
        <w:tc>
          <w:tcPr>
            <w:tcW w:type="dxa" w:w="680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EXT-01 至 EXT-11 全部批准，用于 Batch 2 本地 Beta</w:t>
            </w:r>
          </w:p>
        </w:tc>
      </w:tr>
    </w:tbl>
    <w:p>
      <w:pPr>
        <w:spacing w:after="0"/>
      </w:pPr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/>
          <w:color w:val="245AC4"/>
          <w:sz w:val="17"/>
          <w:shd w:fill="EAF0FF"/>
        </w:rPr>
        <w:t xml:space="preserve">  FACT  </w:t>
      </w:r>
      <w:r>
        <w:t xml:space="preserve">  官方或项目材料直接支持   </w:t>
      </w:r>
      <w:r>
        <w:rPr>
          <w:rFonts w:ascii="Noto Sans CJK SC" w:hAnsi="Noto Sans CJK SC" w:eastAsia="Noto Sans CJK SC"/>
          <w:b/>
          <w:color w:val="17171B"/>
          <w:sz w:val="17"/>
          <w:shd w:fill="F1F2F4"/>
        </w:rPr>
        <w:t xml:space="preserve">  INFERENCE  </w:t>
      </w:r>
      <w:r>
        <w:t xml:space="preserve">  由证据推导   </w:t>
      </w:r>
      <w:r>
        <w:rPr>
          <w:rFonts w:ascii="Noto Sans CJK SC" w:hAnsi="Noto Sans CJK SC" w:eastAsia="Noto Sans CJK SC"/>
          <w:b/>
          <w:color w:val="9A6700"/>
          <w:sz w:val="17"/>
          <w:shd w:fill="FFF4D8"/>
        </w:rPr>
        <w:t xml:space="preserve">  HYPOTHESIS  </w:t>
      </w:r>
      <w:r>
        <w:t xml:space="preserve">  待验证   </w:t>
      </w:r>
      <w:r>
        <w:rPr>
          <w:rFonts w:ascii="Noto Sans CJK SC" w:hAnsi="Noto Sans CJK SC" w:eastAsia="Noto Sans CJK SC"/>
          <w:b/>
          <w:color w:val="D92D3A"/>
          <w:sz w:val="17"/>
          <w:shd w:fill="FDECEF"/>
        </w:rPr>
        <w:t xml:space="preserve">  SIMULATION  </w:t>
      </w:r>
    </w:p>
    <w:p>
      <w:pPr>
        <w:pStyle w:val="Caption"/>
      </w:pPr>
      <w:r>
        <w:t>审批说明：你只需在最后一页批准全部推荐项，或写出不批准的编号。普通实现细节由我和 Codex 在既定边界内完成。</w:t>
      </w:r>
    </w:p>
    <w:p>
      <w:r>
        <w:br w:type="page"/>
      </w:r>
    </w:p>
    <w:p>
      <w:pPr>
        <w:pStyle w:val="Eyebrow"/>
      </w:pPr>
      <w:r>
        <w:t xml:space="preserve">01  /  </w:t>
      </w:r>
      <w:r>
        <w:t>这次新增了什么</w:t>
      </w:r>
    </w:p>
    <w:p>
      <w:pPr>
        <w:pStyle w:val="Heading1"/>
      </w:pPr>
      <w:r>
        <w:t>这次新增了什么</w:t>
      </w:r>
    </w:p>
    <w:p>
      <w:pPr>
        <w:pStyle w:val="Lead"/>
        <w:keepNext w:val="0"/>
        <w:spacing w:before="0" w:after="180" w:line="300" w:lineRule="auto"/>
      </w:pPr>
      <w:r>
        <w:t>本轮不是把 PRD 继续堆厚，而是补上公开作品集、AI 产品和 Codex 实施真正需要的“证据—决定—验证”层。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928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组别</w:t>
            </w:r>
          </w:p>
        </w:tc>
        <w:tc>
          <w:tcPr>
            <w:tcW w:type="dxa" w:w="187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新增项</w:t>
            </w:r>
          </w:p>
        </w:tc>
        <w:tc>
          <w:tcPr>
            <w:tcW w:type="dxa" w:w="5329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主要目的</w:t>
            </w:r>
          </w:p>
        </w:tc>
      </w:tr>
      <w:tr>
        <w:trPr>
          <w:cantSplit/>
          <w:cantSplit/>
        </w:trPr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实施与作品集</w:t>
            </w:r>
          </w:p>
        </w:tc>
        <w:tc>
          <w:tcPr>
            <w:tcW w:type="dxa" w:w="187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EXT-01 / 02 / 03</w:t>
            </w:r>
          </w:p>
        </w:tc>
        <w:tc>
          <w:tcPr>
            <w:tcW w:type="dxa" w:w="53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让 Codex 可控执行；让招聘者快速看懂；让产品分析覆盖四类风险</w:t>
            </w:r>
          </w:p>
        </w:tc>
      </w:tr>
      <w:tr>
        <w:trPr>
          <w:cantSplit/>
          <w:cantSplit/>
        </w:trPr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行业与 AI</w:t>
            </w:r>
          </w:p>
        </w:tc>
        <w:tc>
          <w:tcPr>
            <w:tcW w:type="dxa" w:w="187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EXT-04 / 05 / 06</w:t>
            </w:r>
          </w:p>
        </w:tc>
        <w:tc>
          <w:tcPr>
            <w:tcW w:type="dxa" w:w="532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校准创新叙事；让 AI 可修正、可确认；把结构、语义与权限分开验证</w:t>
            </w:r>
          </w:p>
        </w:tc>
      </w:tr>
      <w:tr>
        <w:trPr>
          <w:cantSplit/>
          <w:cantSplit/>
        </w:trPr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数据与质量</w:t>
            </w:r>
          </w:p>
        </w:tc>
        <w:tc>
          <w:tcPr>
            <w:tcW w:type="dxa" w:w="187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EXT-07 / 08 / 09</w:t>
            </w:r>
          </w:p>
        </w:tc>
        <w:tc>
          <w:tcPr>
            <w:tcW w:type="dxa" w:w="532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先过实验健康 Gate；保证弹层与键盘可用；区分本地性能与真实用户结果</w:t>
            </w:r>
          </w:p>
        </w:tc>
      </w:tr>
      <w:tr>
        <w:trPr>
          <w:cantSplit/>
          <w:cantSplit/>
        </w:trPr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最新网易云研究</w:t>
            </w:r>
          </w:p>
        </w:tc>
        <w:tc>
          <w:tcPr>
            <w:tcW w:type="dxa" w:w="187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EXT-10 / 11</w:t>
            </w:r>
          </w:p>
        </w:tc>
        <w:tc>
          <w:tcPr>
            <w:tcW w:type="dxa" w:w="532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用 Melo 校准 R07 技术边界；用 H1 公开信息补业务背景但不制造因果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D92D3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FDEC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D92D3A"/>
                <w:sz w:val="20"/>
              </w:rPr>
              <w:t>最重要的新发现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2026 年网易云音乐已公开生产级自然语言音乐推荐 Agent（Melo / Muse Mix）。这不会让 R07 失去价值，但会改变项目叙事：R07 不是“首次用一句话推荐音乐”，而是“把一句话转成可编辑、可校验、可确认的推荐控制设置”。</w:t>
            </w:r>
          </w:p>
        </w:tc>
      </w:tr>
    </w:tbl>
    <w:p>
      <w:pPr>
        <w:spacing w:after="0"/>
      </w:pPr>
    </w:p>
    <w:p>
      <w:pPr>
        <w:pStyle w:val="Heading2"/>
      </w:pPr>
      <w:r>
        <w:t>本轮不改变的主线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核心问题仍是：用户难以表达当前意图、纠正错误推荐，并区分短期行为与长期画像。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R03 与 R04 保持确定性产品规则；AI 只能提出候选，不能绕过确认。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公开 Beta 不接真实模型、不使用真实账号/音频、不写不存在的效果数字。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原课程时间线与后续 2026 行业复核分开呈现，不把后来的资料伪装成当时调研。</w:t>
      </w:r>
    </w:p>
    <w:p>
      <w:pPr>
        <w:pStyle w:val="Heading2"/>
      </w:pPr>
      <w:r>
        <w:t>为什么要单独审批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外部研究会影响作品集的表达和实现门槛，但不能自动变成老师原话或用户结论。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EXT-04 与 EXT-10 会轻微调整 R07 的定位，因此需要显式记录。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批准只适用于本地 Beta；真实 AI 和公开发布仍需要下一次独立审查。</w:t>
      </w:r>
    </w:p>
    <w:p>
      <w:r>
        <w:br w:type="page"/>
      </w:r>
    </w:p>
    <w:p>
      <w:pPr>
        <w:pStyle w:val="Eyebrow"/>
      </w:pPr>
      <w:r>
        <w:t xml:space="preserve">02  /  </w:t>
      </w:r>
      <w:r>
        <w:t>实施与作品集</w:t>
      </w:r>
    </w:p>
    <w:p>
      <w:pPr>
        <w:pStyle w:val="Heading1"/>
      </w:pPr>
      <w:r>
        <w:t>实施与作品集</w:t>
      </w:r>
    </w:p>
    <w:p>
      <w:pPr>
        <w:pStyle w:val="Lead"/>
        <w:keepNext w:val="0"/>
        <w:spacing w:before="0" w:after="180" w:line="300" w:lineRule="auto"/>
      </w:pPr>
      <w:r>
        <w:t>用可查的事实源和反馈循环替代“给 Codex 一句话让它做得高级”。</w:t>
      </w:r>
    </w:p>
    <w:p>
      <w:pPr>
        <w:pStyle w:val="Heading2"/>
      </w:pPr>
      <w:r>
        <w:t>EXT-01｜Agent-first Harness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5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采用</w:t>
            </w:r>
          </w:p>
        </w:tc>
        <w:tc>
          <w:tcPr>
            <w:tcW w:type="dxa" w:w="45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不采用</w:t>
            </w:r>
          </w:p>
        </w:tc>
      </w:tr>
      <w:tr>
        <w:trPr>
          <w:cantSplit/>
          <w:cantSplit/>
        </w:trPr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AGENTS.md 只做地图；详细规则放进 PRD、契约、Schema、Fixture 与 Skill</w:t>
            </w:r>
          </w:p>
        </w:tc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把所有信息塞进一份超长提示，之后让 Agent 靠记忆保持一致</w:t>
            </w:r>
          </w:p>
        </w:tc>
      </w:tr>
      <w:tr>
        <w:trPr>
          <w:cantSplit/>
          <w:cantSplit/>
        </w:trPr>
        <w:tc>
          <w:tcPr>
            <w:tcW w:type="dxa" w:w="45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实现 → 浏览器操作 → DOM/日志 → 截图 → 审查 → 修复 → 重跑</w:t>
            </w:r>
          </w:p>
        </w:tc>
        <w:tc>
          <w:tcPr>
            <w:tcW w:type="dxa" w:w="45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只看代码能编译，就判断交互和审美通过</w:t>
            </w:r>
          </w:p>
        </w:tc>
      </w:tr>
      <w:tr>
        <w:trPr>
          <w:cantSplit/>
          <w:cantSplit/>
        </w:trPr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状态、权限、视觉禁区和交付格式尽量做成机械 Gate</w:t>
            </w:r>
          </w:p>
        </w:tc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允许 Codex 自由更改产品生命周期、AI 权限或对外说法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S01  </w:t>
      </w:r>
      <w:r>
        <w:rPr>
          <w:rFonts w:ascii="Noto Sans CJK SC" w:hAnsi="Noto Sans CJK SC" w:eastAsia="Noto Sans CJK SC"/>
          <w:color w:val="5F636D"/>
          <w:sz w:val="16"/>
        </w:rPr>
        <w:t>OpenAI Harness Engineering（2026-02-11）：人负责方向与意图，Agent 执行；可靠性依赖环境、事实源和反馈循环。</w:t>
      </w:r>
    </w:p>
    <w:p>
      <w:pPr>
        <w:pStyle w:val="Heading2"/>
      </w:pPr>
      <w:r>
        <w:t>EXT-02｜双层作品集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45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90 秒快速层</w:t>
            </w:r>
          </w:p>
        </w:tc>
        <w:tc>
          <w:tcPr>
            <w:tcW w:type="dxa" w:w="45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8 分钟深读层</w:t>
            </w:r>
          </w:p>
        </w:tc>
      </w:tr>
      <w:tr>
        <w:trPr>
          <w:cantSplit/>
          <w:cantSplit/>
        </w:trPr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角色、问题、证据边界、3 个决策、Demo、当前验证状态</w:t>
            </w:r>
          </w:p>
        </w:tc>
        <w:tc>
          <w:tcPr>
            <w:tcW w:type="dxa" w:w="45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分层、推导、竞品、规则、异常、AI 契约、数据实验、反思</w:t>
            </w:r>
          </w:p>
        </w:tc>
      </w:tr>
      <w:tr>
        <w:trPr>
          <w:cantSplit/>
          <w:cantSplit/>
        </w:trPr>
        <w:tc>
          <w:tcPr>
            <w:tcW w:type="dxa" w:w="45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目标：让招聘者快速判断是否值得继续看</w:t>
            </w:r>
          </w:p>
        </w:tc>
        <w:tc>
          <w:tcPr>
            <w:tcW w:type="dxa" w:w="45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目标：让产品、设计、研发面试官检查思考和落地深度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S02–S03  </w:t>
      </w:r>
      <w:r>
        <w:rPr>
          <w:rFonts w:ascii="Noto Sans CJK SC" w:hAnsi="Noto Sans CJK SC" w:eastAsia="Noto Sans CJK SC"/>
          <w:color w:val="5F636D"/>
          <w:sz w:val="16"/>
        </w:rPr>
        <w:t>NN/g 2026 招聘研究：作品集的真实用户可能是招聘者、PM 或创始人，需要按其问题组织信息；作品集也要支持后续面试。</w:t>
      </w:r>
    </w:p>
    <w:p>
      <w:pPr>
        <w:pStyle w:val="Heading2"/>
      </w:pPr>
      <w:r>
        <w:t>EXT-03｜四类风险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984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087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本项目必须回答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Value</w:t>
            </w:r>
          </w:p>
        </w:tc>
        <w:tc>
          <w:tcPr>
            <w:tcW w:type="dxa" w:w="708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用户是否真的需要主动控制，而不是只在访谈里说需要？</w:t>
            </w:r>
          </w:p>
        </w:tc>
      </w:tr>
      <w:tr>
        <w:trPr>
          <w:cantSplit/>
          <w:cantSplit/>
        </w:trPr>
        <w:tc>
          <w:tcPr>
            <w:tcW w:type="dxa" w:w="198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Usability</w:t>
            </w:r>
          </w:p>
        </w:tc>
        <w:tc>
          <w:tcPr>
            <w:tcW w:type="dxa" w:w="708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是否理解“仅本次 / 临时收听 / 少推 / 黑名单”？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Feasibility</w:t>
            </w:r>
          </w:p>
        </w:tc>
        <w:tc>
          <w:tcPr>
            <w:tcW w:type="dxa" w:w="708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现有推荐、画像、事件、撤销与刷新能否分阶段接入？</w:t>
            </w:r>
          </w:p>
        </w:tc>
      </w:tr>
      <w:tr>
        <w:trPr>
          <w:cantSplit/>
          <w:cantSplit/>
        </w:trPr>
        <w:tc>
          <w:tcPr>
            <w:tcW w:type="dxa" w:w="198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Viability</w:t>
            </w:r>
          </w:p>
        </w:tc>
        <w:tc>
          <w:tcPr>
            <w:tcW w:type="dxa" w:w="708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是否损害总收听、多样性、内容分发与运营目标？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S04  </w:t>
      </w:r>
      <w:r>
        <w:rPr>
          <w:rFonts w:ascii="Noto Sans CJK SC" w:hAnsi="Noto Sans CJK SC" w:eastAsia="Noto Sans CJK SC"/>
          <w:color w:val="5F636D"/>
          <w:sz w:val="16"/>
        </w:rPr>
        <w:t>SVPG Four Big Risks，用于补充产品审视框架，不作为课程原文。</w:t>
      </w:r>
    </w:p>
    <w:p>
      <w:r>
        <w:br w:type="page"/>
      </w:r>
    </w:p>
    <w:p>
      <w:pPr>
        <w:pStyle w:val="Eyebrow"/>
      </w:pPr>
      <w:r>
        <w:t xml:space="preserve">03  /  </w:t>
      </w:r>
      <w:r>
        <w:t>行业对照与产品定位</w:t>
      </w:r>
    </w:p>
    <w:p>
      <w:pPr>
        <w:pStyle w:val="Heading1"/>
      </w:pPr>
      <w:r>
        <w:t>行业对照与产品定位</w:t>
      </w:r>
    </w:p>
    <w:p>
      <w:pPr>
        <w:pStyle w:val="Lead"/>
        <w:keepNext w:val="0"/>
        <w:spacing w:before="0" w:after="180" w:line="300" w:lineRule="auto"/>
      </w:pPr>
      <w:r>
        <w:t>最新竞品变化不是用来“证明我们对”，而是用来修正叙事、发现边界和明确差异。</w:t>
      </w:r>
    </w:p>
    <w:p>
      <w:pPr>
        <w:pStyle w:val="Heading2"/>
      </w:pPr>
      <w:r>
        <w:t>EXT-04｜Spotify 与 Apple 2026 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8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官方能力</w:t>
            </w:r>
          </w:p>
        </w:tc>
        <w:tc>
          <w:tcPr>
            <w:tcW w:type="dxa" w:w="3572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能支持的判断</w:t>
            </w:r>
          </w:p>
        </w:tc>
        <w:tc>
          <w:tcPr>
            <w:tcW w:type="dxa" w:w="3118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不能支持的判断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Spotify Taste Profile Beta</w:t>
            </w:r>
          </w:p>
        </w:tc>
        <w:tc>
          <w:tcPr>
            <w:tcW w:type="dxa" w:w="357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在已开放地区，自然语言表达偏好已进入产品实验；权限和明确限制很重要</w:t>
            </w:r>
          </w:p>
        </w:tc>
        <w:tc>
          <w:tcPr>
            <w:tcW w:type="dxa" w:w="311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不能证明网易云用户一定需要同样入口，也不能宣传 R07 行业首创</w:t>
            </w:r>
          </w:p>
        </w:tc>
      </w:tr>
      <w:tr>
        <w:trPr>
          <w:cantSplit/>
          <w:cantSplit/>
        </w:trPr>
        <w:tc>
          <w:tcPr>
            <w:tcW w:type="dxa" w:w="238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Spotify 排除播放列表/曲目</w:t>
            </w:r>
          </w:p>
        </w:tc>
        <w:tc>
          <w:tcPr>
            <w:tcW w:type="dxa" w:w="357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“对象”与“从什么上下文播放”需要分别定义</w:t>
            </w:r>
          </w:p>
        </w:tc>
        <w:tc>
          <w:tcPr>
            <w:tcW w:type="dxa" w:w="311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不能等同于本项目会话级隔离的完整实现</w:t>
            </w:r>
          </w:p>
        </w:tc>
      </w:tr>
      <w:tr>
        <w:trPr>
          <w:cantSplit/>
          <w:cantSplit/>
        </w:trPr>
        <w:tc>
          <w:tcPr>
            <w:tcW w:type="dxa" w:w="238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Apple Use Listening History</w:t>
            </w:r>
          </w:p>
        </w:tc>
        <w:tc>
          <w:tcPr>
            <w:tcW w:type="dxa" w:w="357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临时不让普通收听影响推荐具有行业可行性</w:t>
            </w:r>
          </w:p>
        </w:tc>
        <w:tc>
          <w:tcPr>
            <w:tcW w:type="dxa" w:w="311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不能直接推导本项目的时长、入口和默认值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S06–S09  </w:t>
      </w:r>
      <w:r>
        <w:rPr>
          <w:rFonts w:ascii="Noto Sans CJK SC" w:hAnsi="Noto Sans CJK SC" w:eastAsia="Noto Sans CJK SC"/>
          <w:color w:val="5F636D"/>
          <w:sz w:val="16"/>
        </w:rPr>
        <w:t>Spotify 与 Apple 官方支持页面，2026-09-05 复核。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2F7D5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E9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F7D5B"/>
                <w:sz w:val="20"/>
              </w:rPr>
              <w:t>R07 新定位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不是“AI 替用户直接改推荐”，而是“AI 先把自然语言拆成可编辑候选，并把影响对象、范围和持续时间展示给用户；最终由用户确认后交给确定性产品规则执行”。</w:t>
            </w:r>
          </w:p>
        </w:tc>
      </w:tr>
    </w:tbl>
    <w:p>
      <w:pPr>
        <w:spacing w:after="0"/>
      </w:pPr>
    </w:p>
    <w:p>
      <w:pPr>
        <w:pStyle w:val="Heading2"/>
      </w:pPr>
      <w:r>
        <w:t>作品集中的表达规则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把“课程时期竞品分析”与“2026 后续行业复核”分为两个时间层。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竞品只提与本方案有关的能力、边界和设计逻辑，不做功能大清单。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不使用“别人没有，所以我创新”作为核心价值；创新点改为控制权、范围和可恢复性。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任何产品 Beta 的资格、功能和文案可能变化，公开发布前重新核查。</w:t>
      </w:r>
    </w:p>
    <w:p>
      <w:r>
        <w:br w:type="page"/>
      </w:r>
    </w:p>
    <w:p>
      <w:pPr>
        <w:pStyle w:val="Eyebrow"/>
      </w:pPr>
      <w:r>
        <w:t xml:space="preserve">04  /  </w:t>
      </w:r>
      <w:r>
        <w:t>AI 体验与工程契约</w:t>
      </w:r>
    </w:p>
    <w:p>
      <w:pPr>
        <w:pStyle w:val="Heading1"/>
      </w:pPr>
      <w:r>
        <w:t>AI 体验与工程契约</w:t>
      </w:r>
    </w:p>
    <w:p>
      <w:pPr>
        <w:pStyle w:val="Lead"/>
        <w:keepNext w:val="0"/>
        <w:spacing w:before="0" w:after="180" w:line="300" w:lineRule="auto"/>
      </w:pPr>
      <w:r>
        <w:t>AI 产品经理的重点不是把聊天框放进页面，而是定义能力、权限、校验、修正、失败和评估。</w:t>
      </w:r>
    </w:p>
    <w:p>
      <w:pPr>
        <w:pStyle w:val="Heading2"/>
      </w:pPr>
      <w:r>
        <w:t>EXT-05｜Human-AI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1984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087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本地 Beta 的落地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设定预期</w:t>
            </w:r>
          </w:p>
        </w:tc>
        <w:tc>
          <w:tcPr>
            <w:tcW w:type="dxa" w:w="708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显示支持示例、标签范围与“本地规则模拟”；不写“AI 已完全理解”。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高效纠正</w:t>
            </w:r>
          </w:p>
        </w:tc>
        <w:tc>
          <w:tcPr>
            <w:tcW w:type="dxa" w:w="708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用户直接修改结构化候选，不必整句重写。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解释与后果</w:t>
            </w:r>
          </w:p>
        </w:tc>
        <w:tc>
          <w:tcPr>
            <w:tcW w:type="dxa" w:w="708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显示识别/未识别片段、将修改的字段、影响范围与持续时间。</w:t>
            </w:r>
          </w:p>
        </w:tc>
      </w:tr>
      <w:tr>
        <w:trPr>
          <w:cantSplit/>
          <w:cantSplit/>
        </w:trPr>
        <w:tc>
          <w:tcPr>
            <w:tcW w:type="dxa" w:w="198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退出与恢复</w:t>
            </w:r>
          </w:p>
        </w:tc>
        <w:tc>
          <w:tcPr>
            <w:tcW w:type="dxa" w:w="708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可折叠、回到手动、取消、撤销；AI 不阻断核心任务。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S05  </w:t>
      </w:r>
      <w:r>
        <w:rPr>
          <w:rFonts w:ascii="Noto Sans CJK SC" w:hAnsi="Noto Sans CJK SC" w:eastAsia="Noto Sans CJK SC"/>
          <w:color w:val="5F636D"/>
          <w:sz w:val="16"/>
        </w:rPr>
        <w:t>Microsoft HAX：能力预期、纠正、解释、细粒度反馈和行动后果。</w:t>
      </w:r>
    </w:p>
    <w:p>
      <w:pPr>
        <w:pStyle w:val="Heading2"/>
      </w:pPr>
      <w:r>
        <w:t>EXT-06｜结构、语义和权限分层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74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68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通过意味着什么</w:t>
            </w:r>
          </w:p>
        </w:tc>
        <w:tc>
          <w:tcPr>
            <w:tcW w:type="dxa" w:w="3912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仍不能证明什么</w:t>
            </w:r>
          </w:p>
        </w:tc>
      </w:tr>
      <w:tr>
        <w:trPr>
          <w:cantSplit/>
          <w:cantSplit/>
        </w:trPr>
        <w:tc>
          <w:tcPr>
            <w:tcW w:type="dxa" w:w="147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Schema</w:t>
            </w:r>
          </w:p>
        </w:tc>
        <w:tc>
          <w:tcPr>
            <w:tcW w:type="dxa" w:w="368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字段、枚举、数组和额外属性符合约束</w:t>
            </w:r>
          </w:p>
        </w:tc>
        <w:tc>
          <w:tcPr>
            <w:tcW w:type="dxa" w:w="3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没有漏掉否定、时间范围或关键条件</w:t>
            </w:r>
          </w:p>
        </w:tc>
      </w:tr>
      <w:tr>
        <w:trPr>
          <w:cantSplit/>
          <w:cantSplit/>
        </w:trPr>
        <w:tc>
          <w:tcPr>
            <w:tcW w:type="dxa" w:w="147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Grounding</w:t>
            </w:r>
          </w:p>
        </w:tc>
        <w:tc>
          <w:tcPr>
            <w:tcW w:type="dxa" w:w="368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标签、歌曲、音乐人存在于批准字典/目录</w:t>
            </w:r>
          </w:p>
        </w:tc>
        <w:tc>
          <w:tcPr>
            <w:tcW w:type="dxa" w:w="391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推荐一定符合用户真实意图</w:t>
            </w:r>
          </w:p>
        </w:tc>
      </w:tr>
      <w:tr>
        <w:trPr>
          <w:cantSplit/>
          <w:cantSplit/>
        </w:trPr>
        <w:tc>
          <w:tcPr>
            <w:tcW w:type="dxa" w:w="147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语义</w:t>
            </w:r>
          </w:p>
        </w:tc>
        <w:tc>
          <w:tcPr>
            <w:tcW w:type="dxa" w:w="368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候选保留了任务关键条件</w:t>
            </w:r>
          </w:p>
        </w:tc>
        <w:tc>
          <w:tcPr>
            <w:tcW w:type="dxa" w:w="3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用户一定理解并愿意采用</w:t>
            </w:r>
          </w:p>
        </w:tc>
      </w:tr>
      <w:tr>
        <w:trPr>
          <w:cantSplit/>
          <w:cantSplit/>
        </w:trPr>
        <w:tc>
          <w:tcPr>
            <w:tcW w:type="dxa" w:w="147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权限</w:t>
            </w:r>
          </w:p>
        </w:tc>
        <w:tc>
          <w:tcPr>
            <w:tcW w:type="dxa" w:w="368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AI 只产生候选，没有直接执行</w:t>
            </w:r>
          </w:p>
        </w:tc>
        <w:tc>
          <w:tcPr>
            <w:tcW w:type="dxa" w:w="391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最终产品效果和业务价值</w:t>
            </w:r>
          </w:p>
        </w:tc>
      </w:tr>
      <w:tr>
        <w:trPr>
          <w:cantSplit/>
          <w:cantSplit/>
        </w:trPr>
        <w:tc>
          <w:tcPr>
            <w:tcW w:type="dxa" w:w="147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产品 Eval</w:t>
            </w:r>
          </w:p>
        </w:tc>
        <w:tc>
          <w:tcPr>
            <w:tcW w:type="dxa" w:w="368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与手动流程比较完成、误解、修正和取消</w:t>
            </w:r>
          </w:p>
        </w:tc>
        <w:tc>
          <w:tcPr>
            <w:tcW w:type="dxa" w:w="3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大规模线上增长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9A6700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FFF4D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9A6700"/>
                <w:sz w:val="20"/>
              </w:rPr>
              <w:t>安全边界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公开首版只运行 LocalRuleAdapter。未来真实模型必须通过服务端、独立预算和停用开关；API Key 不能进入浏览器或仓库。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S10–S12  </w:t>
      </w:r>
      <w:r>
        <w:rPr>
          <w:rFonts w:ascii="Noto Sans CJK SC" w:hAnsi="Noto Sans CJK SC" w:eastAsia="Noto Sans CJK SC"/>
          <w:color w:val="5F636D"/>
          <w:sz w:val="16"/>
        </w:rPr>
        <w:t>OpenAI Structured Outputs、Evals 与 API Key Safety。</w:t>
      </w:r>
    </w:p>
    <w:p>
      <w:r>
        <w:br w:type="page"/>
      </w:r>
    </w:p>
    <w:p>
      <w:pPr>
        <w:pStyle w:val="Eyebrow"/>
      </w:pPr>
      <w:r>
        <w:t xml:space="preserve">05  /  </w:t>
      </w:r>
      <w:r>
        <w:t>数据、无障碍与 Web 质量</w:t>
      </w:r>
    </w:p>
    <w:p>
      <w:pPr>
        <w:pStyle w:val="Heading1"/>
      </w:pPr>
      <w:r>
        <w:t>数据、无障碍与 Web 质量</w:t>
      </w:r>
    </w:p>
    <w:p>
      <w:pPr>
        <w:pStyle w:val="Lead"/>
        <w:keepNext w:val="0"/>
        <w:spacing w:before="0" w:after="180" w:line="300" w:lineRule="auto"/>
      </w:pPr>
      <w:r>
        <w:t>功能有效性、实现正确性和页面质量是三组不同问题，不能互相代替。</w:t>
      </w:r>
    </w:p>
    <w:p>
      <w:pPr>
        <w:pStyle w:val="Heading2"/>
      </w:pPr>
      <w:r>
        <w:t>EXT-07｜先过实验健康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794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8277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</w:t>
            </w:r>
          </w:p>
        </w:tc>
      </w:tr>
      <w:tr>
        <w:trPr>
          <w:cantSplit/>
          <w:cantSplit/>
        </w:trPr>
        <w:tc>
          <w:tcPr>
            <w:tcW w:type="dxa" w:w="79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1</w:t>
            </w:r>
          </w:p>
        </w:tc>
        <w:tc>
          <w:tcPr>
            <w:tcW w:type="dxa" w:w="827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事件、时间戳、版本、分组、曝光是否完整</w:t>
            </w:r>
          </w:p>
        </w:tc>
      </w:tr>
      <w:tr>
        <w:trPr>
          <w:cantSplit/>
          <w:cantSplit/>
        </w:trPr>
        <w:tc>
          <w:tcPr>
            <w:tcW w:type="dxa" w:w="79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2</w:t>
            </w:r>
          </w:p>
        </w:tc>
        <w:tc>
          <w:tcPr>
            <w:tcW w:type="dxa" w:w="827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随机化单位、assignment 与 exposure 是否一致</w:t>
            </w:r>
          </w:p>
        </w:tc>
      </w:tr>
      <w:tr>
        <w:trPr>
          <w:cantSplit/>
          <w:cantSplit/>
        </w:trPr>
        <w:tc>
          <w:tcPr>
            <w:tcW w:type="dxa" w:w="79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3</w:t>
            </w:r>
          </w:p>
        </w:tc>
        <w:tc>
          <w:tcPr>
            <w:tcW w:type="dxa" w:w="827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SRM 是否通过；失败时停止读取 treatment effect</w:t>
            </w:r>
          </w:p>
        </w:tc>
      </w:tr>
      <w:tr>
        <w:trPr>
          <w:cantSplit/>
          <w:cantSplit/>
        </w:trPr>
        <w:tc>
          <w:tcPr>
            <w:tcW w:type="dxa" w:w="79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4</w:t>
            </w:r>
          </w:p>
        </w:tc>
        <w:tc>
          <w:tcPr>
            <w:tcW w:type="dxa" w:w="827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A/A 或最小数据链路是否先验证</w:t>
            </w:r>
          </w:p>
        </w:tc>
      </w:tr>
      <w:tr>
        <w:trPr>
          <w:cantSplit/>
          <w:cantSplit/>
        </w:trPr>
        <w:tc>
          <w:tcPr>
            <w:tcW w:type="dxa" w:w="79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5</w:t>
            </w:r>
          </w:p>
        </w:tc>
        <w:tc>
          <w:tcPr>
            <w:tcW w:type="dxa" w:w="827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分层是否使用实验前特征，避免处理后自选择偏差</w:t>
            </w:r>
          </w:p>
        </w:tc>
      </w:tr>
      <w:tr>
        <w:trPr>
          <w:cantSplit/>
          <w:cantSplit/>
        </w:trPr>
        <w:tc>
          <w:tcPr>
            <w:tcW w:type="dxa" w:w="794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6</w:t>
            </w:r>
          </w:p>
        </w:tc>
        <w:tc>
          <w:tcPr>
            <w:tcW w:type="dxa" w:w="8277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数据质量、OEC、诊断和 Guardrail 是否同时存在</w:t>
            </w:r>
          </w:p>
        </w:tc>
      </w:tr>
      <w:tr>
        <w:trPr>
          <w:cantSplit/>
          <w:cantSplit/>
        </w:trPr>
        <w:tc>
          <w:tcPr>
            <w:tcW w:type="dxa" w:w="79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7</w:t>
            </w:r>
          </w:p>
        </w:tc>
        <w:tc>
          <w:tcPr>
            <w:tcW w:type="dxa" w:w="8277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每个灰度 ring 是否预设 pass / hold / rollback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S13–S16  </w:t>
      </w:r>
      <w:r>
        <w:rPr>
          <w:rFonts w:ascii="Noto Sans CJK SC" w:hAnsi="Noto Sans CJK SC" w:eastAsia="Noto Sans CJK SC"/>
          <w:color w:val="5F636D"/>
          <w:sz w:val="16"/>
        </w:rPr>
        <w:t>Microsoft Experimentation Platform：SRM、A/A 和数据质量先于效果解释。</w:t>
      </w:r>
    </w:p>
    <w:p>
      <w:pPr>
        <w:pStyle w:val="Heading2"/>
      </w:pPr>
      <w:r>
        <w:t>EXT-08 / 09｜可访问、可复现、不过度承诺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19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实施门槛</w:t>
            </w:r>
          </w:p>
        </w:tc>
        <w:tc>
          <w:tcPr>
            <w:tcW w:type="dxa" w:w="317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对外说法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Dialog</w:t>
            </w:r>
          </w:p>
        </w:tc>
        <w:tc>
          <w:tcPr>
            <w:tcW w:type="dxa" w:w="419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焦点进入/限制、Esc、关闭后返回、背景 inert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说明已做键盘与自动检查，不宣称仅靠 axe 达到完整合规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触控/手势</w:t>
            </w:r>
          </w:p>
        </w:tc>
        <w:tc>
          <w:tcPr>
            <w:tcW w:type="dxa" w:w="419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关键目标 ≥44×44；滑动有按钮替代</w:t>
            </w:r>
          </w:p>
        </w:tc>
        <w:tc>
          <w:tcPr>
            <w:tcW w:type="dxa" w:w="317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44×44 是项目目标，不误称 WCAG 统一最低值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视觉回归</w:t>
            </w:r>
          </w:p>
        </w:tc>
        <w:tc>
          <w:tcPr>
            <w:tcW w:type="dxa" w:w="419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同一 OS/浏览器/字体/seed 截图；逐张人工审查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像素一致不等于设计正确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性能</w:t>
            </w:r>
          </w:p>
        </w:tc>
        <w:tc>
          <w:tcPr>
            <w:tcW w:type="dxa" w:w="419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本地记录 LCP/INP/CLS，核心流程无外网依赖</w:t>
            </w:r>
          </w:p>
        </w:tc>
        <w:tc>
          <w:tcPr>
            <w:tcW w:type="dxa" w:w="317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7"/>
              </w:rPr>
              <w:t>只写 lab 结果，不冒充真实用户 75 分位 field CWV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S17–S24  </w:t>
      </w:r>
      <w:r>
        <w:rPr>
          <w:rFonts w:ascii="Noto Sans CJK SC" w:hAnsi="Noto Sans CJK SC" w:eastAsia="Noto Sans CJK SC"/>
          <w:color w:val="5F636D"/>
          <w:sz w:val="16"/>
        </w:rPr>
        <w:t>W3C、MDN、Playwright、web.dev 与 Vite 官方资料。</w:t>
      </w:r>
    </w:p>
    <w:p>
      <w:r>
        <w:br w:type="page"/>
      </w:r>
    </w:p>
    <w:p>
      <w:pPr>
        <w:pStyle w:val="Eyebrow"/>
      </w:pPr>
      <w:r>
        <w:t xml:space="preserve">06  /  </w:t>
      </w:r>
      <w:r>
        <w:t>最新重点：Melo / Muse Mix</w:t>
      </w:r>
    </w:p>
    <w:p>
      <w:pPr>
        <w:pStyle w:val="Heading1"/>
      </w:pPr>
      <w:r>
        <w:t>最新重点：Melo / Muse Mix</w:t>
      </w:r>
    </w:p>
    <w:p>
      <w:pPr>
        <w:pStyle w:val="Lead"/>
        <w:keepNext w:val="0"/>
        <w:spacing w:before="0" w:after="180" w:line="300" w:lineRule="auto"/>
      </w:pPr>
      <w:r>
        <w:t>这项资料与本项目最接近，因此既要吸收，也要避免把外部生产成果冒充成自己的。</w:t>
      </w:r>
    </w:p>
    <w:p>
      <w:pPr>
        <w:pStyle w:val="Heading2"/>
      </w:pPr>
      <w:r>
        <w:t>EXT-10｜论文实际支持什么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论文内容</w:t>
            </w:r>
          </w:p>
        </w:tc>
        <w:tc>
          <w:tcPr>
            <w:tcW w:type="dxa" w:w="317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本项目吸收</w:t>
            </w:r>
          </w:p>
        </w:tc>
        <w:tc>
          <w:tcPr>
            <w:tcW w:type="dxa" w:w="306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本项目不复制</w:t>
            </w:r>
          </w:p>
        </w:tc>
      </w:tr>
      <w:tr>
        <w:trPr>
          <w:cantSplit/>
          <w:cantSplit/>
        </w:trPr>
        <w:tc>
          <w:tcPr>
            <w:tcW w:type="dxa" w:w="28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确定性五节点：UNDERSTAND → PLAN → EXECUTE → REFLECT → SYNTHESIZE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R07 使用固定、可追踪步骤和 typed contract</w:t>
            </w:r>
          </w:p>
        </w:tc>
        <w:tc>
          <w:tcPr>
            <w:tcW w:type="dxa" w:w="306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不建立生产多工具 Agent 或完整歌单生成系统</w:t>
            </w:r>
          </w:p>
        </w:tc>
      </w:tr>
      <w:tr>
        <w:trPr>
          <w:cantSplit/>
          <w:cantSplit/>
        </w:trPr>
        <w:tc>
          <w:tcPr>
            <w:tcW w:type="dxa" w:w="28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通过生产目录/搜索索引做实体 grounding</w:t>
            </w:r>
          </w:p>
        </w:tc>
        <w:tc>
          <w:tcPr>
            <w:tcW w:type="dxa" w:w="317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歌曲、音乐人和标签必须存在于合成目录/字典</w:t>
            </w:r>
          </w:p>
        </w:tc>
        <w:tc>
          <w:tcPr>
            <w:tcW w:type="dxa" w:w="306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不接网易内部目录、行为索引或真实排序服务</w:t>
            </w:r>
          </w:p>
        </w:tc>
      </w:tr>
      <w:tr>
        <w:trPr>
          <w:cantSplit/>
          <w:cantSplit/>
        </w:trPr>
        <w:tc>
          <w:tcPr>
            <w:tcW w:type="dxa" w:w="28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结果不足时分析失败并受限重试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无结果时澄清或提出明确放宽，并展示 diff</w:t>
            </w:r>
          </w:p>
        </w:tc>
        <w:tc>
          <w:tcPr>
            <w:tcW w:type="dxa" w:w="306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不静默退成热门歌，也不做自由无限循环</w:t>
            </w:r>
          </w:p>
        </w:tc>
      </w:tr>
      <w:tr>
        <w:trPr>
          <w:cantSplit/>
          <w:cantSplit/>
        </w:trPr>
        <w:tc>
          <w:tcPr>
            <w:tcW w:type="dxa" w:w="28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论文报告线上/离线结果及其限制</w:t>
            </w:r>
          </w:p>
        </w:tc>
        <w:tc>
          <w:tcPr>
            <w:tcW w:type="dxa" w:w="317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学习其评估拆分和限制披露</w:t>
            </w:r>
          </w:p>
        </w:tc>
        <w:tc>
          <w:tcPr>
            <w:tcW w:type="dxa" w:w="306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不把论文的提升、误识别率或延迟写成本项目结果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S25  </w:t>
      </w:r>
      <w:r>
        <w:rPr>
          <w:rFonts w:ascii="Noto Sans CJK SC" w:hAnsi="Noto Sans CJK SC" w:eastAsia="Noto Sans CJK SC"/>
          <w:color w:val="5F636D"/>
          <w:sz w:val="16"/>
        </w:rPr>
        <w:t>Wang et al., Melo: A Production LLM-Powered Music Recommendation Agent, arXiv/RecSys 2026。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D92D3A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FDEC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D92D3A"/>
                <w:sz w:val="20"/>
              </w:rPr>
              <w:t>对产品定位的直接影响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R07 保留，但从“自然语言音乐推荐”收窄为“自然语言推荐控制助手”。用户得到的是可编辑设置草稿，而不是一份由 AI 自主生成并直接生效的歌单。</w:t>
            </w:r>
          </w:p>
        </w:tc>
      </w:tr>
    </w:tbl>
    <w:p>
      <w:pPr>
        <w:spacing w:after="0"/>
      </w:pPr>
    </w:p>
    <w:p>
      <w:pPr>
        <w:pStyle w:val="Heading2"/>
      </w:pPr>
      <w:r>
        <w:t>对 AI 产品经理能力展示的提升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能识别已有行业/自家产品方向，避免重复宣称创新。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能把模型理解、目录 grounding、产品权限、用户确认和推荐执行拆开。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能设计失败分类：无法识别、实体不存在、约束冲突、结果不足、旧响应和系统错误。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能在恢复覆盖率时同时监控约束保留，而不是只追求“有结果”。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能说明外部线上实验的适用范围与局限，不把相关性包装成因果。</w:t>
      </w:r>
    </w:p>
    <w:p>
      <w:r>
        <w:br w:type="page"/>
      </w:r>
    </w:p>
    <w:p>
      <w:pPr>
        <w:pStyle w:val="Eyebrow"/>
      </w:pPr>
      <w:r>
        <w:t xml:space="preserve">07  /  </w:t>
      </w:r>
      <w:r>
        <w:t>业务背景与证据边界</w:t>
      </w:r>
    </w:p>
    <w:p>
      <w:pPr>
        <w:pStyle w:val="Heading1"/>
      </w:pPr>
      <w:r>
        <w:t>业务背景与证据边界</w:t>
      </w:r>
    </w:p>
    <w:p>
      <w:pPr>
        <w:pStyle w:val="Lead"/>
        <w:keepNext w:val="0"/>
        <w:spacing w:before="0" w:after="180" w:line="300" w:lineRule="auto"/>
      </w:pPr>
      <w:r>
        <w:t>最新业务数据可以说明产品环境，但不能替代用户研究和本项目实验。</w:t>
      </w:r>
    </w:p>
    <w:p>
      <w:pPr>
        <w:pStyle w:val="Heading2"/>
      </w:pPr>
      <w:r>
        <w:t>EXT-11｜H1 2026 公开信息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3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公开事实</w:t>
            </w:r>
          </w:p>
        </w:tc>
        <w:tc>
          <w:tcPr>
            <w:tcW w:type="dxa" w:w="3175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作品集用途</w:t>
            </w:r>
          </w:p>
        </w:tc>
        <w:tc>
          <w:tcPr>
            <w:tcW w:type="dxa" w:w="306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禁止推导</w:t>
            </w:r>
          </w:p>
        </w:tc>
      </w:tr>
      <w:tr>
        <w:trPr>
          <w:cantSplit/>
          <w:cantSplit/>
        </w:trPr>
        <w:tc>
          <w:tcPr>
            <w:tcW w:type="dxa" w:w="28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网易云音乐 H1 2026 收入约 40 亿元，同比增长 3.4%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说明这是成熟在线音乐业务，功能改动需考虑总体验、内容生态和商业可持续性</w:t>
            </w:r>
          </w:p>
        </w:tc>
        <w:tc>
          <w:tcPr>
            <w:tcW w:type="dxa" w:w="306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不能说明本方案是收入增长原因，也不能预测实施后营收</w:t>
            </w:r>
          </w:p>
        </w:tc>
      </w:tr>
      <w:tr>
        <w:trPr>
          <w:cantSplit/>
          <w:cantSplit/>
        </w:trPr>
        <w:tc>
          <w:tcPr>
            <w:tcW w:type="dxa" w:w="283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公司公开表述继续改善个性化推荐和产品功能</w:t>
            </w:r>
          </w:p>
        </w:tc>
        <w:tc>
          <w:tcPr>
            <w:tcW w:type="dxa" w:w="3175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支持“优化现有系统而非重做一套”的环境判断</w:t>
            </w:r>
          </w:p>
        </w:tc>
        <w:tc>
          <w:tcPr>
            <w:tcW w:type="dxa" w:w="306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不能证明 R03/R04 的具体需求、默认值或用户规模</w:t>
            </w:r>
          </w:p>
        </w:tc>
      </w:tr>
      <w:tr>
        <w:trPr>
          <w:cantSplit/>
          <w:cantSplit/>
        </w:trPr>
        <w:tc>
          <w:tcPr>
            <w:tcW w:type="dxa" w:w="283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公开材料报告 DAU/MAU 高于 30% 及参与度改善</w:t>
            </w:r>
          </w:p>
        </w:tc>
        <w:tc>
          <w:tcPr>
            <w:tcW w:type="dxa" w:w="3175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说明需用稳定的 Guardrail 审视高活跃产品改动</w:t>
            </w:r>
          </w:p>
        </w:tc>
        <w:tc>
          <w:tcPr>
            <w:tcW w:type="dxa" w:w="306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不能把活跃度当成推荐控制需求比例</w:t>
            </w:r>
          </w:p>
        </w:tc>
      </w:tr>
    </w:tbl>
    <w:p>
      <w:pPr>
        <w:spacing w:after="0"/>
      </w:pPr>
    </w:p>
    <w:p>
      <w:pPr>
        <w:pStyle w:val="SourceText"/>
        <w:keepNext w:val="0"/>
        <w:spacing w:before="0" w:after="100" w:line="276" w:lineRule="auto"/>
      </w:pPr>
      <w:r>
        <w:rPr>
          <w:rFonts w:ascii="Noto Sans CJK SC" w:hAnsi="Noto Sans CJK SC" w:eastAsia="Noto Sans CJK SC"/>
          <w:b/>
          <w:color w:val="D92D3A"/>
          <w:sz w:val="16"/>
        </w:rPr>
        <w:t xml:space="preserve">来源 S26–S27  </w:t>
      </w:r>
      <w:r>
        <w:rPr>
          <w:rFonts w:ascii="Noto Sans CJK SC" w:hAnsi="Noto Sans CJK SC" w:eastAsia="Noto Sans CJK SC"/>
          <w:color w:val="5F636D"/>
          <w:sz w:val="16"/>
        </w:rPr>
        <w:t>NetEase 2026 Q2/Interim Results 与网易云音乐 H1 2026 公司结果公告。</w:t>
      </w:r>
    </w:p>
    <w:p>
      <w:pPr>
        <w:pStyle w:val="Heading2"/>
      </w:pPr>
      <w:r>
        <w:t>本轮明确不加入的“看起来很厉害”的内容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不使用无法同口径比较的市场份额、下载量或 MAU 排名堆砌背景。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不写“30 份有效问卷”“多数用户认为”或任何不存在的样本。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不从公司增长、竞品功能或外部论文直接推出本方案有价值。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不把合成曲库、排序 fixture、自动测试通过率称为真实用户效果。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不把本地 Lighthouse、axe 或截图测试称为生产质量认证。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2F7D5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E9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F7D5B"/>
                <w:sz w:val="20"/>
              </w:rPr>
              <w:t>未来补证据的优先顺序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先完成本地 Beta → 进行 5–8 名目标覆盖型可用性测试 → 修正文案和流程 → 再根据需要补真实问卷或线上实验设计。当前最需要的是验证理解与操作，而不是临时凑一批问卷数量。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 xml:space="preserve">08  /  </w:t>
      </w:r>
      <w:r>
        <w:t>我代你回答的关键反问</w:t>
      </w:r>
    </w:p>
    <w:p>
      <w:pPr>
        <w:pStyle w:val="Heading1"/>
      </w:pPr>
      <w:r>
        <w:t>我代你回答的关键反问</w:t>
      </w:r>
    </w:p>
    <w:p>
      <w:pPr>
        <w:pStyle w:val="Lead"/>
        <w:keepNext w:val="0"/>
        <w:spacing w:before="0" w:after="180" w:line="300" w:lineRule="auto"/>
      </w:pPr>
      <w:r>
        <w:t>这些不是永久真理，而是基于当前求职用途、证据水平与实施成本的推荐决定。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268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1928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推荐决定</w:t>
            </w:r>
          </w:p>
        </w:tc>
        <w:tc>
          <w:tcPr>
            <w:tcW w:type="dxa" w:w="4876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公开首版接真实 AI 吗？</w:t>
            </w:r>
          </w:p>
        </w:tc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不接</w:t>
            </w:r>
          </w:p>
        </w:tc>
        <w:tc>
          <w:tcPr>
            <w:tcW w:type="dxa" w:w="48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稳定、零成本、无密钥风险；先证明规则、权限、可修正和 Eval。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R07 放在 Hero 吗？</w:t>
            </w:r>
          </w:p>
        </w:tc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不放</w:t>
            </w:r>
          </w:p>
        </w:tc>
        <w:tc>
          <w:tcPr>
            <w:tcW w:type="dxa" w:w="4876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主问题是推荐控制；AI 是后续实验，避免作品集变成聊天框展示。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Melo 已存在，R07 还做吗？</w:t>
            </w:r>
          </w:p>
        </w:tc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保留但收窄</w:t>
            </w:r>
          </w:p>
        </w:tc>
        <w:tc>
          <w:tcPr>
            <w:tcW w:type="dxa" w:w="48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做“控制层助手”，不和完整歌单 Agent 重复。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页面做网易云高仿吗？</w:t>
            </w:r>
          </w:p>
        </w:tc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不做</w:t>
            </w:r>
          </w:p>
        </w:tc>
        <w:tc>
          <w:tcPr>
            <w:tcW w:type="dxa" w:w="4876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保留播放器识别和暗色弹层，外层用独立案例设计并声明非官方。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加入 Spotify 吗？</w:t>
            </w:r>
          </w:p>
        </w:tc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加入后续行业复核</w:t>
            </w:r>
          </w:p>
        </w:tc>
        <w:tc>
          <w:tcPr>
            <w:tcW w:type="dxa" w:w="48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展示 2026 敏感度，但不改写课程时期竞品分析。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展示增长数字吗？</w:t>
            </w:r>
          </w:p>
        </w:tc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不展示</w:t>
            </w:r>
          </w:p>
        </w:tc>
        <w:tc>
          <w:tcPr>
            <w:tcW w:type="dxa" w:w="4876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当前只有规格与未来测试方案，没有真实用户和线上结果。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现在公开部署吗？</w:t>
            </w:r>
          </w:p>
        </w:tc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不部署</w:t>
            </w:r>
          </w:p>
        </w:tc>
        <w:tc>
          <w:tcPr>
            <w:tcW w:type="dxa" w:w="48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先完成本地 Beta、视觉和内容审查，再独立发布审查。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真实歌曲/封面/账号？</w:t>
            </w:r>
          </w:p>
        </w:tc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不用</w:t>
            </w:r>
          </w:p>
        </w:tc>
        <w:tc>
          <w:tcPr>
            <w:tcW w:type="dxa" w:w="4876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使用虚构曲库和自制几何封面，降低版权和冒充风险。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Codex 能改产品规则吗？</w:t>
            </w:r>
          </w:p>
        </w:tc>
        <w:tc>
          <w:tcPr>
            <w:tcW w:type="dxa" w:w="19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不能</w:t>
            </w:r>
          </w:p>
        </w:tc>
        <w:tc>
          <w:tcPr>
            <w:tcW w:type="dxa" w:w="48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它可决定实现细节；权限、范围、生命周期必须升级审查。</w:t>
            </w:r>
          </w:p>
        </w:tc>
      </w:tr>
      <w:tr>
        <w:trPr>
          <w:cantSplit/>
          <w:cantSplit/>
        </w:trPr>
        <w:tc>
          <w:tcPr>
            <w:tcW w:type="dxa" w:w="226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H1 数据放首屏吗？</w:t>
            </w:r>
          </w:p>
        </w:tc>
        <w:tc>
          <w:tcPr>
            <w:tcW w:type="dxa" w:w="1928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不放</w:t>
            </w:r>
          </w:p>
        </w:tc>
        <w:tc>
          <w:tcPr>
            <w:tcW w:type="dxa" w:w="4876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只用于深读背景，避免商业数字抢走用户问题与产品决策。</w:t>
            </w:r>
          </w:p>
        </w:tc>
      </w:tr>
    </w:tbl>
    <w:p>
      <w:pPr>
        <w:spacing w:after="0"/>
      </w:pPr>
    </w:p>
    <w:p>
      <w:pPr>
        <w:pStyle w:val="Heading2"/>
      </w:pPr>
      <w:r>
        <w:t>你集中审查时只需要看四点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是否接受 R07 从“自然语言推荐”收窄为“自然语言控制助手”。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是否接受公开首版只做本地规则模拟，不接真实模型。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是否接受行业与公司数据只作背景，不用于证明需求或成果。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是否接受 Codex 一次性完成本地 Beta、自测和截图后再集中回交。</w:t>
      </w:r>
    </w:p>
    <w:p>
      <w:r>
        <w:br w:type="page"/>
      </w:r>
    </w:p>
    <w:p>
      <w:pPr>
        <w:pStyle w:val="Eyebrow"/>
      </w:pPr>
      <w:r>
        <w:t xml:space="preserve">09  /  </w:t>
      </w:r>
      <w:r>
        <w:t>来源与新旧分层</w:t>
      </w:r>
    </w:p>
    <w:p>
      <w:pPr>
        <w:pStyle w:val="Heading1"/>
      </w:pPr>
      <w:r>
        <w:t>来源与新旧分层</w:t>
      </w:r>
    </w:p>
    <w:p>
      <w:pPr>
        <w:pStyle w:val="Lead"/>
        <w:keepNext w:val="0"/>
        <w:spacing w:before="0" w:after="180" w:line="300" w:lineRule="auto"/>
      </w:pPr>
      <w:r>
        <w:t>以下是本轮最重要的来源；完整 URL、用途和复核日期见包内 `docs/RESEARCH_SOURCE_REGISTER.md`。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701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来源组</w:t>
            </w:r>
          </w:p>
        </w:tc>
        <w:tc>
          <w:tcPr>
            <w:tcW w:type="dxa" w:w="3402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主要来源</w:t>
            </w:r>
          </w:p>
        </w:tc>
        <w:tc>
          <w:tcPr>
            <w:tcW w:type="dxa" w:w="3969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在本项目中的用途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2026 最新实施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OpenAI Harness Engineering</w:t>
            </w:r>
          </w:p>
        </w:tc>
        <w:tc>
          <w:tcPr>
            <w:tcW w:type="dxa" w:w="39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Codex 事实源、反馈循环、UI/日志/截图可观察性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2026 最新招聘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NN/g UX Hiring</w:t>
            </w:r>
          </w:p>
        </w:tc>
        <w:tc>
          <w:tcPr>
            <w:tcW w:type="dxa" w:w="39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按招聘者与用人经理组织公开作品集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2026 当前产品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Spotify Taste Profile；Apple Listening History</w:t>
            </w:r>
          </w:p>
        </w:tc>
        <w:tc>
          <w:tcPr>
            <w:tcW w:type="dxa" w:w="39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校准自然语言偏好与临时画像控制的行业现状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2026 最新网易云 AI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Melo / Muse Mix（RecSys/arXiv）</w:t>
            </w:r>
          </w:p>
        </w:tc>
        <w:tc>
          <w:tcPr>
            <w:tcW w:type="dxa" w:w="39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固定状态图、grounding、失败恢复；重定位 R07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2026 业务背景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NetEase / NetEase Cloud Music H1 Results</w:t>
            </w:r>
          </w:p>
        </w:tc>
        <w:tc>
          <w:tcPr>
            <w:tcW w:type="dxa" w:w="39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成熟业务背景，严格限制因果推导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当前 AI UX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Microsoft HAX</w:t>
            </w:r>
          </w:p>
        </w:tc>
        <w:tc>
          <w:tcPr>
            <w:tcW w:type="dxa" w:w="39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预期、纠正、解释、反馈、后果和退出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实验基础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Microsoft ExP</w:t>
            </w:r>
          </w:p>
        </w:tc>
        <w:tc>
          <w:tcPr>
            <w:tcW w:type="dxa" w:w="39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SRM、A/A、数据质量和可信实验</w:t>
            </w:r>
          </w:p>
        </w:tc>
      </w:tr>
      <w:tr>
        <w:trPr>
          <w:cantSplit/>
          <w:cantSplit/>
        </w:trPr>
        <w:tc>
          <w:tcPr>
            <w:tcW w:type="dxa" w:w="1701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Web 标准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W3C、MDN、Playwright、web.dev、Vite</w:t>
            </w:r>
          </w:p>
        </w:tc>
        <w:tc>
          <w:tcPr>
            <w:tcW w:type="dxa" w:w="39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弹层、键盘、视觉回归、性能与静态部署准备</w:t>
            </w:r>
          </w:p>
        </w:tc>
      </w:tr>
      <w:tr>
        <w:trPr>
          <w:cantSplit/>
          <w:cantSplit/>
        </w:trPr>
        <w:tc>
          <w:tcPr>
            <w:tcW w:type="dxa" w:w="170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产品基础框架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SVPG Four Risks</w:t>
            </w:r>
          </w:p>
        </w:tc>
        <w:tc>
          <w:tcPr>
            <w:tcW w:type="dxa" w:w="39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6"/>
              </w:rPr>
              <w:t>价值、可用性、可行性、商业可持续性</w:t>
            </w:r>
          </w:p>
        </w:tc>
      </w:tr>
    </w:tbl>
    <w:p>
      <w:pPr>
        <w:spacing w:after="0"/>
      </w:pPr>
    </w:p>
    <w:p>
      <w:pPr>
        <w:pStyle w:val="Heading2"/>
      </w:pPr>
      <w:r>
        <w:t>为什么仍保留少量旧来源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A/B 测试、WCAG、四类风险等属于基础方法，不会因为年份较早就自动失效。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旧来源只在没有新标准推翻它时保留；产品功能和 Beta 状态则以 2026 官方页面为准。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外部研究中的量化结果不会被移植成本项目目标值。</w:t>
      </w:r>
    </w:p>
    <w:p>
      <w:pPr>
        <w:pStyle w:val="Caption"/>
      </w:pPr>
      <w:r>
        <w:rPr>
          <w:b/>
        </w:rPr>
        <w:t>包内查看：</w:t>
      </w:r>
      <w:r>
        <w:t xml:space="preserve"> docs/RESEARCH_ADDENDUM.md · docs/RESEARCH_SOURCE_REGISTER.md · docs/RESEARCH_CHANGELOG.md · specs/research-decisions.json</w:t>
      </w:r>
    </w:p>
    <w:p>
      <w:r>
        <w:br w:type="page"/>
      </w:r>
    </w:p>
    <w:p>
      <w:pPr>
        <w:pStyle w:val="Eyebrow"/>
      </w:pPr>
      <w:r>
        <w:t xml:space="preserve">10  /  </w:t>
      </w:r>
      <w:r>
        <w:t>审批与下一步</w:t>
      </w:r>
    </w:p>
    <w:p>
      <w:pPr>
        <w:pStyle w:val="Heading1"/>
      </w:pPr>
      <w:r>
        <w:t>审批与下一步</w:t>
      </w:r>
    </w:p>
    <w:p>
      <w:pPr>
        <w:pStyle w:val="Lead"/>
        <w:keepNext w:val="0"/>
        <w:spacing w:before="0" w:after="180" w:line="300" w:lineRule="auto"/>
      </w:pPr>
      <w:r>
        <w:t>批准后才把新增研究写入 Batch 2 的正式实现；批准不等于授权发布。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184"/>
      </w:tblGrid>
      <w:tr>
        <w:trPr>
          <w:cantSplit/>
          <w:cantSplit/>
        </w:trPr>
        <w:tc>
          <w:tcPr>
            <w:tcW w:type="dxa" w:w="5156"/>
            <w:shd w:fill="2F7D5B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5156"/>
            <w:shd w:fill="E9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F7D5B"/>
                <w:sz w:val="20"/>
              </w:rPr>
              <w:t>推荐决定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EXT-01 至 EXT-11 全部批准，进入 Batch 2 本地 Beta 实现。理由：所有新增项都提高可信度、实现可控性或验证完整度；没有一项要求真实用户数据、真实模型或公开发布。</w:t>
            </w:r>
          </w:p>
        </w:tc>
      </w:tr>
    </w:tbl>
    <w:p>
      <w:pPr>
        <w:spacing w:after="0"/>
      </w:pPr>
    </w:p>
    <w:p>
      <w:pPr>
        <w:pStyle w:val="Heading2"/>
      </w:pPr>
      <w:r>
        <w:t>批准后由 Codex 一次性完成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React + TypeScript + Vite 本地应用；案例页与 Demo 页。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Flow A 主动调整、Flow B 少推并撤销、Flow C 临时收听、R07 本地解析。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两阶段保存/刷新、旧响应、版本冲突、撤销冲突、提醒和保守降级。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单元/契约/E2E/axe/视觉快照/构建与本地性能记录。</w:t>
      </w:r>
    </w:p>
    <w:p>
      <w:pPr>
        <w:pStyle w:val="ListBullet"/>
        <w:keepNext w:val="0"/>
        <w:spacing w:before="0" w:after="50" w:line="295" w:lineRule="auto"/>
      </w:pPr>
      <w:r>
        <w:rPr>
          <w:rFonts w:ascii="Noto Sans CJK SC" w:hAnsi="Noto Sans CJK SC" w:eastAsia="Noto Sans CJK SC"/>
          <w:color w:val="17171B"/>
          <w:sz w:val="19"/>
        </w:rPr>
        <w:t>至少两轮“实现—测试—截图—审查—修复—重跑”，再集中 handback。</w:t>
      </w:r>
    </w:p>
    <w:p>
      <w:pPr>
        <w:pStyle w:val="Heading2"/>
      </w:pPr>
      <w:r>
        <w:t>仍需后续独立授权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669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02"/>
            <w:shd w:fill="17171B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bottom w:val="single" w:sz="6" w:color="D9DEE4"/>
            </w:tcBorders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本轮状态</w:t>
            </w:r>
          </w:p>
        </w:tc>
      </w:tr>
      <w:tr>
        <w:trPr>
          <w:cantSplit/>
          <w:cantSplit/>
        </w:trPr>
        <w:tc>
          <w:tcPr>
            <w:tcW w:type="dxa" w:w="56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真实模型/API 与任何密钥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不授权</w:t>
            </w:r>
          </w:p>
        </w:tc>
      </w:tr>
      <w:tr>
        <w:trPr>
          <w:cantSplit/>
          <w:cantSplit/>
        </w:trPr>
        <w:tc>
          <w:tcPr>
            <w:tcW w:type="dxa" w:w="56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公开 GitHub、GitHub Pages、域名或线上部署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不授权</w:t>
            </w:r>
          </w:p>
        </w:tc>
      </w:tr>
      <w:tr>
        <w:trPr>
          <w:cantSplit/>
          <w:cantSplit/>
        </w:trPr>
        <w:tc>
          <w:tcPr>
            <w:tcW w:type="dxa" w:w="56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远端遥测、真实账号、真实歌曲/封面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不授权</w:t>
            </w:r>
          </w:p>
        </w:tc>
      </w:tr>
      <w:tr>
        <w:trPr>
          <w:cantSplit/>
          <w:cantSplit/>
        </w:trPr>
        <w:tc>
          <w:tcPr>
            <w:tcW w:type="dxa" w:w="5669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真人可用性测试的招募与记录</w:t>
            </w:r>
          </w:p>
        </w:tc>
        <w:tc>
          <w:tcPr>
            <w:tcW w:type="dxa" w:w="3402"/>
            <w:shd w:fill="F7F8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Beta 完成后单独启动</w:t>
            </w:r>
          </w:p>
        </w:tc>
      </w:tr>
      <w:tr>
        <w:trPr>
          <w:cantSplit/>
          <w:cantSplit/>
        </w:trPr>
        <w:tc>
          <w:tcPr>
            <w:tcW w:type="dxa" w:w="566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把测试结果写入简历/作品集成果</w:t>
            </w:r>
          </w:p>
        </w:tc>
        <w:tc>
          <w:tcPr>
            <w:tcW w:type="dxa" w:w="340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D9DEE4"/>
            </w:tcBorders>
            <w:vAlign w:val="center"/>
          </w:tcPr>
          <w:p>
            <w:pPr>
              <w:keepNext w:val="0"/>
              <w:spacing w:before="0" w:after="0" w:line="278" w:lineRule="auto"/>
            </w:pPr>
            <w:r>
              <w:rPr>
                <w:rFonts w:ascii="Noto Sans CJK SC" w:hAnsi="Noto Sans CJK SC" w:eastAsia="Noto Sans CJK SC"/>
                <w:color w:val="17171B"/>
                <w:sz w:val="18"/>
              </w:rPr>
              <w:t>仅在真实执行并审查后</w:t>
            </w:r>
          </w:p>
        </w:tc>
      </w:tr>
    </w:tbl>
    <w:p>
      <w:pPr>
        <w:spacing w:after="0"/>
      </w:pPr>
    </w:p>
    <w:p>
      <w:pPr>
        <w:pStyle w:val="Heading2"/>
      </w:pPr>
      <w:r>
        <w:t>推荐审批语句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1F2F4"/>
            <w:tcMar>
              <w:top w:w="170" w:type="dxa"/>
              <w:start w:w="180" w:type="dxa"/>
              <w:bottom w:w="170" w:type="dxa"/>
              <w:end w:w="18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17171B"/>
                <w:sz w:val="20"/>
              </w:rPr>
              <w:t>EXT-01 至 EXT-11 按推荐方案全部批准，进入 Batch 2 本地 Beta 实现；仍不授权真实 AI、公开部署或远端推送。</w:t>
            </w:r>
          </w:p>
        </w:tc>
      </w:tr>
    </w:tbl>
    <w:p>
      <w:pPr>
        <w:pStyle w:val="Lead"/>
        <w:keepNext w:val="0"/>
        <w:spacing w:before="240" w:after="160" w:line="300" w:lineRule="auto"/>
      </w:pPr>
      <w:r>
        <w:t>批准后操作：把启动包交给 Codex，并粘贴根目录 `BATCH2_CODEX_MASTER_PROMPT.md` 全文。普通实现问题无需再次逐项审批。</w:t>
      </w:r>
    </w:p>
    <w:p>
      <w:pPr>
        <w:pStyle w:val="Caption"/>
      </w:pPr>
      <w:r>
        <w:t>需要排除某项时，只回复对应编号，例如“批准除 EXT-11 外的其余项”。我会统一更新机器可读审批状态与 Codex 指令，避免多份文档出现不同版本。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822" w:left="96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8B8F98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/>
        <w:color w:val="8B8F98"/>
        <w:sz w:val="16"/>
      </w:rPr>
      <w:t>NETEASE RECOMMENDATION CONTROL  /  BATCH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80"/>
    </w:pPr>
    <w:rPr>
      <w:rFonts w:ascii="Noto Sans CJK SC" w:hAnsi="Noto Sans CJK SC" w:eastAsia="Noto Sans CJK SC"/>
      <w:color w:val="1717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7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71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95" w:lineRule="auto"/>
      <w:contextualSpacing/>
    </w:pPr>
    <w:rPr>
      <w:rFonts w:ascii="Noto Sans CJK SC" w:hAnsi="Noto Sans CJK SC" w:eastAsia="Noto Sans CJK SC"/>
      <w:color w:val="17171B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95" w:lineRule="auto"/>
      <w:contextualSpacing/>
    </w:pPr>
    <w:rPr>
      <w:rFonts w:ascii="Noto Sans CJK SC" w:hAnsi="Noto Sans CJK SC" w:eastAsia="Noto Sans CJK SC"/>
      <w:color w:val="17171B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95" w:lineRule="auto"/>
      <w:contextualSpacing/>
    </w:pPr>
    <w:rPr>
      <w:rFonts w:ascii="Noto Sans CJK SC" w:hAnsi="Noto Sans CJK SC" w:eastAsia="Noto Sans CJK SC"/>
      <w:color w:val="17171B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 w:line="295" w:lineRule="auto"/>
      <w:contextualSpacing/>
    </w:pPr>
    <w:rPr>
      <w:rFonts w:ascii="Noto Sans CJK SC" w:hAnsi="Noto Sans CJK SC" w:eastAsia="Noto Sans CJK SC"/>
      <w:color w:val="17171B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80"/>
      <w:jc w:val="left"/>
    </w:pPr>
    <w:rPr>
      <w:rFonts w:ascii="Noto Sans CJK SC" w:hAnsi="Noto Sans CJK SC" w:eastAsia="Noto Sans CJK SC"/>
      <w:b w:val="0"/>
      <w:bCs/>
      <w:color w:val="5F63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 w:line="288" w:lineRule="auto"/>
      <w:jc w:val="left"/>
    </w:pPr>
    <w:rPr>
      <w:rFonts w:ascii="Noto Sans CJK SC" w:hAnsi="Noto Sans CJK SC" w:eastAsia="Noto Sans CJK SC"/>
      <w:b/>
      <w:color w:val="D92D3A"/>
      <w:sz w:val="18"/>
    </w:rPr>
  </w:style>
  <w:style w:type="paragraph" w:customStyle="1" w:styleId="Lead">
    <w:name w:val="Lead"/>
    <w:pPr>
      <w:spacing w:after="80" w:line="288" w:lineRule="auto"/>
      <w:jc w:val="left"/>
    </w:pPr>
    <w:rPr>
      <w:rFonts w:ascii="Noto Sans CJK SC" w:hAnsi="Noto Sans CJK SC" w:eastAsia="Noto Sans CJK SC"/>
      <w:b w:val="0"/>
      <w:color w:val="5F636D"/>
      <w:sz w:val="26"/>
    </w:rPr>
  </w:style>
  <w:style w:type="paragraph" w:customStyle="1" w:styleId="SourceText">
    <w:name w:val="SourceText"/>
    <w:pPr>
      <w:spacing w:after="80" w:line="288" w:lineRule="auto"/>
      <w:jc w:val="left"/>
    </w:pPr>
    <w:rPr>
      <w:rFonts w:ascii="Noto Sans CJK SC" w:hAnsi="Noto Sans CJK SC" w:eastAsia="Noto Sans CJK SC"/>
      <w:b w:val="0"/>
      <w:color w:val="5F636D"/>
      <w:sz w:val="16"/>
    </w:rPr>
  </w:style>
  <w:style w:type="paragraph" w:customStyle="1" w:styleId="BigNumber">
    <w:name w:val="BigNumber"/>
    <w:pPr>
      <w:spacing w:after="80" w:line="288" w:lineRule="auto"/>
      <w:jc w:val="left"/>
    </w:pPr>
    <w:rPr>
      <w:rFonts w:ascii="Noto Sans CJK SC" w:hAnsi="Noto Sans CJK SC" w:eastAsia="Noto Sans CJK SC"/>
      <w:b/>
      <w:color w:val="D92D3A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网易云音乐 Batch 2 行业研究补充与审批版</dc:title>
  <dc:subject>公开求职作品集与本地 HTML Beta 的新增行业研究、产品决策和实施门槛</dc:subject>
  <dc:creator>OpenAI / Project working document</dc:creator>
  <cp:keywords>AI产品经理, 推荐系统, PRD, HTML作品集, Codex, 网易云音乐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