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F866E" w14:textId="4FD1B791" w:rsidR="00C4103E" w:rsidRDefault="00F2747F" w:rsidP="00F2747F">
      <w:pPr>
        <w:pStyle w:val="Heading1"/>
      </w:pPr>
      <w:r>
        <w:t>Image Processing</w:t>
      </w:r>
    </w:p>
    <w:p w14:paraId="207A977E" w14:textId="570627A6" w:rsidR="00F2747F" w:rsidRDefault="00F2747F" w:rsidP="00F2747F">
      <w:r>
        <w:t>Once you have loaded data into an imaging experiment (whether by .tiff or by .mcd files), the GUI should automatically switch to the next, image processing tab:</w:t>
      </w:r>
    </w:p>
    <w:p w14:paraId="7569CE63" w14:textId="75ABB014" w:rsidR="00F2747F" w:rsidRDefault="0063576E" w:rsidP="00A15521">
      <w:pPr>
        <w:jc w:val="center"/>
      </w:pPr>
      <w:r>
        <w:rPr>
          <w:noProof/>
        </w:rPr>
        <w:drawing>
          <wp:inline distT="0" distB="0" distL="0" distR="0" wp14:anchorId="5DF741FA" wp14:editId="037E0034">
            <wp:extent cx="5598583" cy="4084320"/>
            <wp:effectExtent l="0" t="0" r="2540" b="0"/>
            <wp:docPr id="186983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0379" cy="4085630"/>
                    </a:xfrm>
                    <a:prstGeom prst="rect">
                      <a:avLst/>
                    </a:prstGeom>
                    <a:noFill/>
                    <a:ln>
                      <a:noFill/>
                    </a:ln>
                  </pic:spPr>
                </pic:pic>
              </a:graphicData>
            </a:graphic>
          </wp:inline>
        </w:drawing>
      </w:r>
    </w:p>
    <w:p w14:paraId="0B81AEFF" w14:textId="2D163848" w:rsidR="00950AB0" w:rsidRDefault="00950AB0" w:rsidP="00950AB0">
      <w:pPr>
        <w:pStyle w:val="Heading3"/>
      </w:pPr>
      <w:r>
        <w:t xml:space="preserve">The Panel </w:t>
      </w:r>
    </w:p>
    <w:p w14:paraId="0B519200" w14:textId="427E8A05" w:rsidR="0063576E" w:rsidRDefault="0063576E" w:rsidP="00F2747F">
      <w:r>
        <w:t xml:space="preserve">On the left half of the </w:t>
      </w:r>
      <w:proofErr w:type="gramStart"/>
      <w:r>
        <w:t>GUI</w:t>
      </w:r>
      <w:proofErr w:type="gramEnd"/>
      <w:r>
        <w:t xml:space="preserve"> you should see the Steinbock-style Panel file, with four columns. Each column serves a different purpose:</w:t>
      </w:r>
    </w:p>
    <w:p w14:paraId="30D6DE4B" w14:textId="392E80F4" w:rsidR="0063576E" w:rsidRDefault="0063576E" w:rsidP="00F2747F">
      <w:pPr>
        <w:pStyle w:val="ListParagraph"/>
        <w:numPr>
          <w:ilvl w:val="0"/>
          <w:numId w:val="1"/>
        </w:numPr>
      </w:pPr>
      <w:r>
        <w:t xml:space="preserve">Channel – this column cannot be edited in the GUI, and represents the names of the channels in the dataset (derived either from </w:t>
      </w:r>
      <w:proofErr w:type="gramStart"/>
      <w:r>
        <w:t>the .mcd</w:t>
      </w:r>
      <w:proofErr w:type="gramEnd"/>
      <w:r>
        <w:t xml:space="preserve"> or .ome.tiff files’ metadata)</w:t>
      </w:r>
      <w:r w:rsidR="00593796">
        <w:t>. This channel name can sometimes be not very helpful or biological, like “Nd142Di”.</w:t>
      </w:r>
    </w:p>
    <w:p w14:paraId="717108C4" w14:textId="39BC3B9B" w:rsidR="0063576E" w:rsidRDefault="0063576E" w:rsidP="00F2747F">
      <w:pPr>
        <w:pStyle w:val="ListParagraph"/>
        <w:numPr>
          <w:ilvl w:val="0"/>
          <w:numId w:val="1"/>
        </w:numPr>
      </w:pPr>
      <w:r>
        <w:t>Name – this column is the biological name of the channel</w:t>
      </w:r>
      <w:r w:rsidR="00593796">
        <w:t xml:space="preserve">, like “CD45”. It determines how the channel is saved in the </w:t>
      </w:r>
      <w:proofErr w:type="gramStart"/>
      <w:r w:rsidR="00593796">
        <w:t>downstream .fcs</w:t>
      </w:r>
      <w:proofErr w:type="gramEnd"/>
      <w:r w:rsidR="00593796">
        <w:t xml:space="preserve"> / .csv files, and subsequent single-cell analysis plots.</w:t>
      </w:r>
    </w:p>
    <w:p w14:paraId="215CF30D" w14:textId="70F37988" w:rsidR="00593796" w:rsidRDefault="00593796" w:rsidP="00F2747F">
      <w:pPr>
        <w:pStyle w:val="ListParagraph"/>
        <w:numPr>
          <w:ilvl w:val="0"/>
          <w:numId w:val="1"/>
        </w:numPr>
      </w:pPr>
      <w:r>
        <w:t xml:space="preserve">Keep – this column is whether to drop a channel (keep = 0) or keep a channel </w:t>
      </w:r>
      <w:proofErr w:type="gramStart"/>
      <w:r>
        <w:t>( =</w:t>
      </w:r>
      <w:proofErr w:type="gramEnd"/>
      <w:r>
        <w:t xml:space="preserve"> 1) when converting from the </w:t>
      </w:r>
      <w:r>
        <w:rPr>
          <w:i/>
          <w:iCs/>
        </w:rPr>
        <w:t>/raw</w:t>
      </w:r>
      <w:r>
        <w:t xml:space="preserve"> files to the first image folder. For example, .mcd files frequently contain channels (like BCKG190) that contain no useful information for downstream analysis. These can be dropped to reduce the computational size / burden of the image files </w:t>
      </w:r>
      <w:r>
        <w:lastRenderedPageBreak/>
        <w:t xml:space="preserve">and downstream analysis. This column NEVER be changed after converting files from </w:t>
      </w:r>
      <w:r>
        <w:rPr>
          <w:i/>
          <w:iCs/>
        </w:rPr>
        <w:t>/raw,</w:t>
      </w:r>
      <w:r>
        <w:t xml:space="preserve"> unless you intend on re-doing that conversion and all downstream steps.   </w:t>
      </w:r>
    </w:p>
    <w:p w14:paraId="1D103FB3" w14:textId="2FA53351" w:rsidR="00593796" w:rsidRDefault="00593796" w:rsidP="00F2747F">
      <w:pPr>
        <w:pStyle w:val="ListParagraph"/>
        <w:numPr>
          <w:ilvl w:val="0"/>
          <w:numId w:val="1"/>
        </w:numPr>
      </w:pPr>
      <w:r>
        <w:t xml:space="preserve">Segmentation – this column is an annotation of what channels to use in the segmentation models. Channels set to ‘nan’ or left blank will not be used in segmentation, while those used in segmentation will either be used as ‘nuclei’ channels or ‘cytoplasmic / membrane’ channels. </w:t>
      </w:r>
      <w:r w:rsidRPr="00593796">
        <w:rPr>
          <w:b/>
          <w:bCs/>
        </w:rPr>
        <w:t xml:space="preserve">There should be at least one channel set to </w:t>
      </w:r>
      <w:r>
        <w:rPr>
          <w:b/>
          <w:bCs/>
        </w:rPr>
        <w:t>nuclei</w:t>
      </w:r>
      <w:r w:rsidRPr="00593796">
        <w:rPr>
          <w:b/>
          <w:bCs/>
        </w:rPr>
        <w:t xml:space="preserve"> and one set to </w:t>
      </w:r>
      <w:r>
        <w:rPr>
          <w:b/>
          <w:bCs/>
        </w:rPr>
        <w:t>cytoplasmic</w:t>
      </w:r>
      <w:r w:rsidRPr="00593796">
        <w:rPr>
          <w:b/>
          <w:bCs/>
        </w:rPr>
        <w:t xml:space="preserve"> (Otherwise segmentation is likely to error / fail)</w:t>
      </w:r>
      <w:r w:rsidR="00950AB0">
        <w:rPr>
          <w:b/>
          <w:bCs/>
        </w:rPr>
        <w:t xml:space="preserve">. </w:t>
      </w:r>
    </w:p>
    <w:p w14:paraId="1434C077" w14:textId="697EDA03" w:rsidR="00950AB0" w:rsidRDefault="00950AB0" w:rsidP="00950AB0">
      <w:r>
        <w:t xml:space="preserve">When any step of the </w:t>
      </w:r>
      <w:proofErr w:type="spellStart"/>
      <w:r>
        <w:t>PalmettoBUG</w:t>
      </w:r>
      <w:proofErr w:type="spellEnd"/>
      <w:r>
        <w:t xml:space="preserve"> pipeline is performed that uses this panel file, the panel file will be saved from its current state in the GUI to the project directory, as “panel.csv”. Note that when saved to the disk, ‘nuclei’ and ‘cytoplasmic / membrane’ are converted to numbers (1 and 2). </w:t>
      </w:r>
    </w:p>
    <w:p w14:paraId="0710A1FD" w14:textId="00F75083" w:rsidR="00950AB0" w:rsidRDefault="00950AB0" w:rsidP="00950AB0">
      <w:pPr>
        <w:pStyle w:val="Heading3"/>
      </w:pPr>
      <w:r>
        <w:t xml:space="preserve">Conversion from Raw </w:t>
      </w:r>
      <w:proofErr w:type="gramStart"/>
      <w:r>
        <w:t>to .</w:t>
      </w:r>
      <w:proofErr w:type="spellStart"/>
      <w:r>
        <w:t>ome</w:t>
      </w:r>
      <w:proofErr w:type="gramEnd"/>
      <w:r>
        <w:t>.tiffs</w:t>
      </w:r>
      <w:proofErr w:type="spellEnd"/>
    </w:p>
    <w:p w14:paraId="49345FA9" w14:textId="32BDC7F1" w:rsidR="00950AB0" w:rsidRDefault="00950AB0" w:rsidP="00950AB0">
      <w:r>
        <w:t xml:space="preserve">Once you have set up your panel file (especially the keep column), you can convert your starting data files from the </w:t>
      </w:r>
      <w:r>
        <w:rPr>
          <w:i/>
          <w:iCs/>
        </w:rPr>
        <w:t xml:space="preserve">/raw </w:t>
      </w:r>
      <w:r w:rsidRPr="00950AB0">
        <w:t>folder</w:t>
      </w:r>
      <w:r>
        <w:rPr>
          <w:i/>
          <w:iCs/>
        </w:rPr>
        <w:t xml:space="preserve"> </w:t>
      </w:r>
      <w:proofErr w:type="gramStart"/>
      <w:r>
        <w:t>into .</w:t>
      </w:r>
      <w:proofErr w:type="spellStart"/>
      <w:r>
        <w:t>ome</w:t>
      </w:r>
      <w:proofErr w:type="gramEnd"/>
      <w:r>
        <w:t>.tiffs</w:t>
      </w:r>
      <w:proofErr w:type="spellEnd"/>
      <w:r>
        <w:t xml:space="preserve"> in the </w:t>
      </w:r>
      <w:r>
        <w:rPr>
          <w:i/>
          <w:iCs/>
        </w:rPr>
        <w:t>/images/</w:t>
      </w:r>
      <w:proofErr w:type="spellStart"/>
      <w:r>
        <w:rPr>
          <w:i/>
          <w:iCs/>
        </w:rPr>
        <w:t>img</w:t>
      </w:r>
      <w:proofErr w:type="spellEnd"/>
      <w:r>
        <w:t xml:space="preserve"> subfolder of the project directory. Regardless of whether there </w:t>
      </w:r>
      <w:proofErr w:type="gramStart"/>
      <w:r>
        <w:t>are .mcd</w:t>
      </w:r>
      <w:proofErr w:type="gramEnd"/>
      <w:r>
        <w:t xml:space="preserve"> or .tiff files in the </w:t>
      </w:r>
      <w:r>
        <w:rPr>
          <w:i/>
          <w:iCs/>
        </w:rPr>
        <w:t>/raw</w:t>
      </w:r>
      <w:r>
        <w:t xml:space="preserve"> folder, this step ALWAYS does at least two things:</w:t>
      </w:r>
    </w:p>
    <w:p w14:paraId="2B08F8AF" w14:textId="4D81BBA6" w:rsidR="00950AB0" w:rsidRDefault="00950AB0" w:rsidP="00950AB0">
      <w:pPr>
        <w:pStyle w:val="ListParagraph"/>
        <w:numPr>
          <w:ilvl w:val="0"/>
          <w:numId w:val="2"/>
        </w:numPr>
      </w:pPr>
      <w:r>
        <w:t xml:space="preserve">Write every ROI as a </w:t>
      </w:r>
      <w:proofErr w:type="gramStart"/>
      <w:r>
        <w:t>single .</w:t>
      </w:r>
      <w:proofErr w:type="gramEnd"/>
      <w:r>
        <w:t xml:space="preserve">ome.tiff image in the </w:t>
      </w:r>
      <w:r>
        <w:rPr>
          <w:i/>
          <w:iCs/>
        </w:rPr>
        <w:t>/images/</w:t>
      </w:r>
      <w:proofErr w:type="spellStart"/>
      <w:r>
        <w:rPr>
          <w:i/>
          <w:iCs/>
        </w:rPr>
        <w:t>img</w:t>
      </w:r>
      <w:proofErr w:type="spellEnd"/>
      <w:r>
        <w:t xml:space="preserve"> subfolder of the project directory. When converting </w:t>
      </w:r>
      <w:proofErr w:type="gramStart"/>
      <w:r>
        <w:t>from .</w:t>
      </w:r>
      <w:proofErr w:type="spellStart"/>
      <w:r>
        <w:t>mcd’s</w:t>
      </w:r>
      <w:proofErr w:type="spellEnd"/>
      <w:proofErr w:type="gramEnd"/>
      <w:r>
        <w:t xml:space="preserve"> this means that there will usually be more .</w:t>
      </w:r>
      <w:proofErr w:type="spellStart"/>
      <w:r>
        <w:t>ome.tiffs</w:t>
      </w:r>
      <w:proofErr w:type="spellEnd"/>
      <w:r>
        <w:t xml:space="preserve"> exported than original files, as .</w:t>
      </w:r>
      <w:proofErr w:type="spellStart"/>
      <w:r>
        <w:t>mcd’s</w:t>
      </w:r>
      <w:proofErr w:type="spellEnd"/>
      <w:r>
        <w:t xml:space="preserve"> can contain multiple ROIs. However, when “converting” from .tiff files, each</w:t>
      </w:r>
      <w:r w:rsidR="00B57004">
        <w:t xml:space="preserve"> individual</w:t>
      </w:r>
      <w:r>
        <w:t xml:space="preserve"> .tiff in </w:t>
      </w:r>
      <w:r>
        <w:rPr>
          <w:i/>
          <w:iCs/>
        </w:rPr>
        <w:t>/raw</w:t>
      </w:r>
      <w:r>
        <w:t xml:space="preserve"> will create a </w:t>
      </w:r>
      <w:proofErr w:type="gramStart"/>
      <w:r>
        <w:t>single .</w:t>
      </w:r>
      <w:proofErr w:type="gramEnd"/>
      <w:r>
        <w:t xml:space="preserve">ome.tiff in </w:t>
      </w:r>
      <w:r>
        <w:rPr>
          <w:i/>
          <w:iCs/>
        </w:rPr>
        <w:t>/images/</w:t>
      </w:r>
      <w:proofErr w:type="spellStart"/>
      <w:r>
        <w:rPr>
          <w:i/>
          <w:iCs/>
        </w:rPr>
        <w:t>img</w:t>
      </w:r>
      <w:proofErr w:type="spellEnd"/>
      <w:r>
        <w:t xml:space="preserve">. </w:t>
      </w:r>
    </w:p>
    <w:p w14:paraId="3800259B" w14:textId="033E0E2D" w:rsidR="00B57004" w:rsidRDefault="00B57004" w:rsidP="00950AB0">
      <w:pPr>
        <w:pStyle w:val="ListParagraph"/>
        <w:numPr>
          <w:ilvl w:val="0"/>
          <w:numId w:val="2"/>
        </w:numPr>
      </w:pPr>
      <w:r>
        <w:t xml:space="preserve">Every channel with keep == 0 in the panel file will be dropped from the images exported to </w:t>
      </w:r>
      <w:r>
        <w:rPr>
          <w:i/>
          <w:iCs/>
        </w:rPr>
        <w:t>/images/</w:t>
      </w:r>
      <w:proofErr w:type="spellStart"/>
      <w:r>
        <w:rPr>
          <w:i/>
          <w:iCs/>
        </w:rPr>
        <w:t>img</w:t>
      </w:r>
      <w:proofErr w:type="spellEnd"/>
      <w:r>
        <w:rPr>
          <w:i/>
          <w:iCs/>
        </w:rPr>
        <w:t>.</w:t>
      </w:r>
      <w:r>
        <w:t xml:space="preserve"> Importantly, this means that there is frequently a difference in the length (number of channels) of the panel file and the number of channels in the images. The panel file’s keep column is used to track this difference – so don’t edit the keep column after this step (unless you are re-doing this step)!</w:t>
      </w:r>
    </w:p>
    <w:p w14:paraId="2433A2C2" w14:textId="28551ABC" w:rsidR="00B57004" w:rsidRDefault="00B57004" w:rsidP="00B57004">
      <w:r>
        <w:t xml:space="preserve">Additionally, </w:t>
      </w:r>
      <w:r w:rsidR="00210922">
        <w:t xml:space="preserve">3). </w:t>
      </w:r>
      <w:r>
        <w:t xml:space="preserve">this conversion can perform a third action on the data: hot pixel filtering. This is a simple method removing isolated, excessively bright pixels in the data. This filtering is inherited from the steinbock pipeline. The way it works is a that a threshold number is provided (say 50), and if any pixel is more than 50 </w:t>
      </w:r>
      <w:r w:rsidR="00607FBE">
        <w:t>‘units’ brighter than all its neighbors, that pixel’s intensity is reduced to the intensity of its brightest neighbor</w:t>
      </w:r>
      <w:r w:rsidR="00A433EB">
        <w:t>, as in this example:</w:t>
      </w:r>
    </w:p>
    <w:p w14:paraId="39252FF9" w14:textId="70BD92A1" w:rsidR="00A82865" w:rsidRDefault="00A82865" w:rsidP="00B57004">
      <w:r>
        <w:rPr>
          <w:noProof/>
        </w:rPr>
        <w:drawing>
          <wp:anchor distT="0" distB="0" distL="114300" distR="114300" simplePos="0" relativeHeight="251658240" behindDoc="0" locked="0" layoutInCell="1" allowOverlap="1" wp14:anchorId="62514759" wp14:editId="6579D6C1">
            <wp:simplePos x="0" y="0"/>
            <wp:positionH relativeFrom="margin">
              <wp:posOffset>330145</wp:posOffset>
            </wp:positionH>
            <wp:positionV relativeFrom="paragraph">
              <wp:posOffset>123963</wp:posOffset>
            </wp:positionV>
            <wp:extent cx="5282886" cy="2083241"/>
            <wp:effectExtent l="0" t="0" r="0" b="0"/>
            <wp:wrapNone/>
            <wp:docPr id="1165203252" name="Picture 1" descr="A black and whit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03252" name="Picture 1" descr="A black and white squares with white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282886" cy="2083241"/>
                    </a:xfrm>
                    <a:prstGeom prst="rect">
                      <a:avLst/>
                    </a:prstGeom>
                  </pic:spPr>
                </pic:pic>
              </a:graphicData>
            </a:graphic>
          </wp:anchor>
        </w:drawing>
      </w:r>
    </w:p>
    <w:p w14:paraId="4F83F486" w14:textId="14A4CDFB" w:rsidR="00A82865" w:rsidRDefault="00A82865" w:rsidP="00B57004"/>
    <w:p w14:paraId="41D5EB35" w14:textId="77777777" w:rsidR="00A82865" w:rsidRDefault="00A82865" w:rsidP="00B57004"/>
    <w:p w14:paraId="7EA19074" w14:textId="3EE5ABBC" w:rsidR="00A82865" w:rsidRDefault="00A82865" w:rsidP="00B57004"/>
    <w:p w14:paraId="1A9D79F2" w14:textId="4B5CD7DE" w:rsidR="00A82865" w:rsidRDefault="00A82865" w:rsidP="00B57004"/>
    <w:p w14:paraId="7A436637" w14:textId="1C7C4E89" w:rsidR="00B95589" w:rsidRDefault="00B95589" w:rsidP="00B57004"/>
    <w:p w14:paraId="730D8645" w14:textId="254B5D37" w:rsidR="00B95589" w:rsidRDefault="00B95589" w:rsidP="00B57004"/>
    <w:p w14:paraId="44AAF9C5" w14:textId="633CAF2E" w:rsidR="00B95589" w:rsidRDefault="00A82865" w:rsidP="00A15521">
      <w:pPr>
        <w:jc w:val="center"/>
      </w:pPr>
      <w:r>
        <w:rPr>
          <w:noProof/>
        </w:rPr>
        <w:lastRenderedPageBreak/>
        <w:drawing>
          <wp:inline distT="0" distB="0" distL="0" distR="0" wp14:anchorId="4F6AADD3" wp14:editId="69083987">
            <wp:extent cx="4389120" cy="1106658"/>
            <wp:effectExtent l="0" t="0" r="0" b="0"/>
            <wp:docPr id="1823663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63368" name="Picture 1" descr="A screenshot of a computer&#10;&#10;Description automatically generated"/>
                    <pic:cNvPicPr/>
                  </pic:nvPicPr>
                  <pic:blipFill>
                    <a:blip r:embed="rId7"/>
                    <a:stretch>
                      <a:fillRect/>
                    </a:stretch>
                  </pic:blipFill>
                  <pic:spPr>
                    <a:xfrm>
                      <a:off x="0" y="0"/>
                      <a:ext cx="4446364" cy="1121091"/>
                    </a:xfrm>
                    <a:prstGeom prst="rect">
                      <a:avLst/>
                    </a:prstGeom>
                  </pic:spPr>
                </pic:pic>
              </a:graphicData>
            </a:graphic>
          </wp:inline>
        </w:drawing>
      </w:r>
    </w:p>
    <w:p w14:paraId="3E89897B" w14:textId="77777777" w:rsidR="00E14496" w:rsidRDefault="00A433EB" w:rsidP="00B57004">
      <w:r>
        <w:t xml:space="preserve">The default </w:t>
      </w:r>
      <w:proofErr w:type="spellStart"/>
      <w:r>
        <w:t>hpf</w:t>
      </w:r>
      <w:proofErr w:type="spellEnd"/>
      <w:r>
        <w:t xml:space="preserve"> value </w:t>
      </w:r>
      <w:r w:rsidRPr="00A433EB">
        <w:rPr>
          <w:b/>
          <w:bCs/>
        </w:rPr>
        <w:t>in steinbock</w:t>
      </w:r>
      <w:r>
        <w:t xml:space="preserve"> is 50. However</w:t>
      </w:r>
      <w:r w:rsidR="00547A54">
        <w:t>,</w:t>
      </w:r>
      <w:r>
        <w:t xml:space="preserve"> the default in </w:t>
      </w:r>
      <w:proofErr w:type="spellStart"/>
      <w:r>
        <w:t>PalmettoBU</w:t>
      </w:r>
      <w:r w:rsidR="00B95589">
        <w:t>G</w:t>
      </w:r>
      <w:proofErr w:type="spellEnd"/>
      <w:r>
        <w:t xml:space="preserve"> is an alternative </w:t>
      </w:r>
      <w:proofErr w:type="spellStart"/>
      <w:r>
        <w:t>hpf</w:t>
      </w:r>
      <w:proofErr w:type="spellEnd"/>
      <w:r>
        <w:t xml:space="preserve"> thresholding method – </w:t>
      </w:r>
      <w:proofErr w:type="spellStart"/>
      <w:r>
        <w:t>hpf</w:t>
      </w:r>
      <w:proofErr w:type="spellEnd"/>
      <w:r>
        <w:t xml:space="preserve"> by automatically calculated threshold. If you enter a number between 0 and 1 (default == 0.85), then the </w:t>
      </w:r>
      <w:proofErr w:type="spellStart"/>
      <w:r>
        <w:t>hpf</w:t>
      </w:r>
      <w:proofErr w:type="spellEnd"/>
      <w:r>
        <w:t xml:space="preserve"> threshold for each individual image channel will be set to the quantile value provided (default == 85% quantile value per channel per image is the threshold for </w:t>
      </w:r>
      <w:proofErr w:type="spellStart"/>
      <w:r>
        <w:t>hpf</w:t>
      </w:r>
      <w:proofErr w:type="spellEnd"/>
      <w:r>
        <w:t xml:space="preserve"> for pixels in that image). This method allows the threshold to vary for channels and images with very different intensities. A channel whose maximum intensity is 25 will not benefit f</w:t>
      </w:r>
      <w:r w:rsidR="00547A54">
        <w:t>ro</w:t>
      </w:r>
      <w:r>
        <w:t xml:space="preserve">m </w:t>
      </w:r>
      <w:proofErr w:type="spellStart"/>
      <w:r>
        <w:t>hpf</w:t>
      </w:r>
      <w:proofErr w:type="spellEnd"/>
      <w:r>
        <w:t xml:space="preserve"> == 50, for example</w:t>
      </w:r>
      <w:r w:rsidR="00210922">
        <w:t>, whereas sliding the threshold based on the quantile of values in the channel/image will ensure that the filtering threshold always falls in the range of values of the channel/image</w:t>
      </w:r>
      <w:r>
        <w:t xml:space="preserve">. </w:t>
      </w:r>
    </w:p>
    <w:p w14:paraId="6043641B" w14:textId="2A5FFBD4" w:rsidR="00A433EB" w:rsidRDefault="00E14496" w:rsidP="00A15521">
      <w:pPr>
        <w:jc w:val="center"/>
      </w:pPr>
      <w:r w:rsidRPr="002E0277">
        <w:rPr>
          <w:u w:val="single"/>
        </w:rPr>
        <w:t>Example HPF results:</w:t>
      </w:r>
      <w:r w:rsidRPr="002E0277">
        <w:drawing>
          <wp:inline distT="0" distB="0" distL="0" distR="0" wp14:anchorId="75263962" wp14:editId="50B1602B">
            <wp:extent cx="5943600" cy="2374900"/>
            <wp:effectExtent l="0" t="0" r="0" b="6350"/>
            <wp:docPr id="1995250333" name="Picture 1" descr="A collage of images of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50333" name="Picture 1" descr="A collage of images of a person's body&#10;&#10;Description automatically generated"/>
                    <pic:cNvPicPr/>
                  </pic:nvPicPr>
                  <pic:blipFill>
                    <a:blip r:embed="rId8"/>
                    <a:stretch>
                      <a:fillRect/>
                    </a:stretch>
                  </pic:blipFill>
                  <pic:spPr>
                    <a:xfrm>
                      <a:off x="0" y="0"/>
                      <a:ext cx="5943600" cy="2374900"/>
                    </a:xfrm>
                    <a:prstGeom prst="rect">
                      <a:avLst/>
                    </a:prstGeom>
                  </pic:spPr>
                </pic:pic>
              </a:graphicData>
            </a:graphic>
          </wp:inline>
        </w:drawing>
      </w:r>
    </w:p>
    <w:p w14:paraId="12EB6500" w14:textId="39D53924" w:rsidR="00033B3B" w:rsidRDefault="00033B3B" w:rsidP="00033B3B">
      <w:pPr>
        <w:pStyle w:val="Heading3"/>
      </w:pPr>
      <w:r>
        <w:t xml:space="preserve">Launching </w:t>
      </w:r>
      <w:proofErr w:type="spellStart"/>
      <w:r>
        <w:t>isoSegDenoise</w:t>
      </w:r>
      <w:proofErr w:type="spellEnd"/>
    </w:p>
    <w:p w14:paraId="7C696C22" w14:textId="3E3C56A5" w:rsidR="00A82865" w:rsidRDefault="00A82865" w:rsidP="00B57004">
      <w:r>
        <w:t xml:space="preserve">The next major step in the pipeline is typically cell segmentation, unless optional image denoising is desired. These steps (denoising and segmentation) are performed in the sister program to </w:t>
      </w:r>
      <w:proofErr w:type="spellStart"/>
      <w:r>
        <w:t>PalmettoBUG</w:t>
      </w:r>
      <w:proofErr w:type="spellEnd"/>
      <w:r>
        <w:t xml:space="preserve"> – </w:t>
      </w:r>
      <w:proofErr w:type="spellStart"/>
      <w:r>
        <w:t>isoSegDenoise</w:t>
      </w:r>
      <w:proofErr w:type="spellEnd"/>
      <w:r>
        <w:t xml:space="preserve"> (or </w:t>
      </w:r>
      <w:proofErr w:type="spellStart"/>
      <w:r>
        <w:t>iSD</w:t>
      </w:r>
      <w:proofErr w:type="spellEnd"/>
      <w:r>
        <w:t xml:space="preserve">). If the </w:t>
      </w:r>
      <w:proofErr w:type="spellStart"/>
      <w:r>
        <w:t>isoSegDenoise</w:t>
      </w:r>
      <w:proofErr w:type="spellEnd"/>
      <w:r>
        <w:t xml:space="preserve"> package has been installed in the same </w:t>
      </w:r>
      <w:proofErr w:type="spellStart"/>
      <w:r>
        <w:t>conda</w:t>
      </w:r>
      <w:proofErr w:type="spellEnd"/>
      <w:r>
        <w:t xml:space="preserve"> environment as </w:t>
      </w:r>
      <w:proofErr w:type="spellStart"/>
      <w:r>
        <w:t>PalmettoBUG</w:t>
      </w:r>
      <w:proofErr w:type="spellEnd"/>
      <w:r>
        <w:t xml:space="preserve">, then the </w:t>
      </w:r>
      <w:proofErr w:type="spellStart"/>
      <w:r>
        <w:t>iSD</w:t>
      </w:r>
      <w:proofErr w:type="spellEnd"/>
      <w:r>
        <w:t xml:space="preserve"> interface can be launched from the indicated button in </w:t>
      </w:r>
      <w:proofErr w:type="spellStart"/>
      <w:r>
        <w:t>PalmettoBUG</w:t>
      </w:r>
      <w:proofErr w:type="spellEnd"/>
      <w:r>
        <w:t xml:space="preserve">. Launching form this button will also automatically load the current project in </w:t>
      </w:r>
      <w:proofErr w:type="spellStart"/>
      <w:r>
        <w:t>PalmettoBUG</w:t>
      </w:r>
      <w:proofErr w:type="spellEnd"/>
      <w:r>
        <w:t xml:space="preserve"> into </w:t>
      </w:r>
      <w:proofErr w:type="spellStart"/>
      <w:r>
        <w:t>iSD</w:t>
      </w:r>
      <w:proofErr w:type="spellEnd"/>
      <w:r>
        <w:t xml:space="preserve"> for a seamless transition between the two programs. </w:t>
      </w:r>
    </w:p>
    <w:p w14:paraId="72C76E56" w14:textId="0CE170EE" w:rsidR="00A82865" w:rsidRDefault="00A82865" w:rsidP="00B57004"/>
    <w:p w14:paraId="0E2255F0" w14:textId="0A8965FA" w:rsidR="00A82865" w:rsidRDefault="00A82865" w:rsidP="00B57004"/>
    <w:p w14:paraId="4DF0BC80" w14:textId="7F7EAD8F" w:rsidR="00A82865" w:rsidRDefault="00E14496" w:rsidP="00A15521">
      <w:pPr>
        <w:jc w:val="center"/>
      </w:pPr>
      <w:r>
        <w:rPr>
          <w:noProof/>
        </w:rPr>
        <w:lastRenderedPageBreak/>
        <w:drawing>
          <wp:inline distT="0" distB="0" distL="0" distR="0" wp14:anchorId="0E37A078" wp14:editId="1355B899">
            <wp:extent cx="5501640" cy="3340365"/>
            <wp:effectExtent l="0" t="0" r="3810" b="0"/>
            <wp:docPr id="725646456" name="Picture 1"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46456" name="Picture 1" descr="Screens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508800" cy="3344712"/>
                    </a:xfrm>
                    <a:prstGeom prst="rect">
                      <a:avLst/>
                    </a:prstGeom>
                  </pic:spPr>
                </pic:pic>
              </a:graphicData>
            </a:graphic>
          </wp:inline>
        </w:drawing>
      </w:r>
    </w:p>
    <w:p w14:paraId="32DC0C6C" w14:textId="00E06A8E" w:rsidR="002E0277" w:rsidRDefault="00A82865" w:rsidP="00547A54">
      <w:r>
        <w:t xml:space="preserve">When the </w:t>
      </w:r>
      <w:proofErr w:type="spellStart"/>
      <w:r>
        <w:t>iSD</w:t>
      </w:r>
      <w:proofErr w:type="spellEnd"/>
      <w:r>
        <w:t xml:space="preserve"> window has opened, note </w:t>
      </w:r>
      <w:r w:rsidR="00547A54">
        <w:t xml:space="preserve">that </w:t>
      </w:r>
      <w:r>
        <w:t xml:space="preserve">programs operate independently of each other. As in, you can perform actions in each independently, at the same time. Usually, you won’t want to do this, and instead perform actions linearly, first generating denoised images / segmentation masks in </w:t>
      </w:r>
      <w:proofErr w:type="spellStart"/>
      <w:r>
        <w:t>iSD</w:t>
      </w:r>
      <w:proofErr w:type="spellEnd"/>
      <w:r>
        <w:t xml:space="preserve"> and then returning to </w:t>
      </w:r>
      <w:proofErr w:type="spellStart"/>
      <w:r>
        <w:t>PalmettoBUG</w:t>
      </w:r>
      <w:proofErr w:type="spellEnd"/>
      <w:r>
        <w:t xml:space="preserve"> to continue the pipeline</w:t>
      </w:r>
      <w:r w:rsidR="000B5B31">
        <w:t>.</w:t>
      </w:r>
      <w:r w:rsidR="00547A54">
        <w:t xml:space="preserve"> Also note that editing the panel file in </w:t>
      </w:r>
      <w:proofErr w:type="spellStart"/>
      <w:r w:rsidR="00547A54">
        <w:t>iSD</w:t>
      </w:r>
      <w:proofErr w:type="spellEnd"/>
      <w:r w:rsidR="00547A54">
        <w:t xml:space="preserve"> is possible – but not recommended unless necessary – as the edits in </w:t>
      </w:r>
      <w:proofErr w:type="spellStart"/>
      <w:r w:rsidR="00547A54">
        <w:t>iSD</w:t>
      </w:r>
      <w:proofErr w:type="spellEnd"/>
      <w:r w:rsidR="00547A54">
        <w:t xml:space="preserve"> shouldn’t persist in the </w:t>
      </w:r>
      <w:proofErr w:type="spellStart"/>
      <w:r w:rsidR="00547A54">
        <w:t>PalmettoBUG</w:t>
      </w:r>
      <w:proofErr w:type="spellEnd"/>
      <w:r w:rsidR="00547A54">
        <w:t xml:space="preserve"> panel unless you</w:t>
      </w:r>
      <w:r w:rsidR="00550536">
        <w:t xml:space="preserve"> immediately</w:t>
      </w:r>
      <w:r w:rsidR="00547A54">
        <w:t xml:space="preserve"> re-start / re-enter the project inside </w:t>
      </w:r>
      <w:proofErr w:type="spellStart"/>
      <w:r w:rsidR="00547A54">
        <w:t>PalmettoBUG</w:t>
      </w:r>
      <w:proofErr w:type="spellEnd"/>
      <w:r w:rsidR="00547A54">
        <w:t xml:space="preserve">. </w:t>
      </w:r>
    </w:p>
    <w:p w14:paraId="413E34E1" w14:textId="523302EA" w:rsidR="00550536" w:rsidRDefault="00550536" w:rsidP="00550536">
      <w:pPr>
        <w:pStyle w:val="Heading3"/>
      </w:pPr>
      <w:r>
        <w:t>Denoising Images (optional)</w:t>
      </w:r>
    </w:p>
    <w:p w14:paraId="27482211" w14:textId="7E091E8F" w:rsidR="00801D10" w:rsidRDefault="00387FF9" w:rsidP="00550536">
      <w:r>
        <w:t xml:space="preserve">There are two options for denoising: </w:t>
      </w:r>
      <w:proofErr w:type="spellStart"/>
      <w:r>
        <w:t>Cellpose</w:t>
      </w:r>
      <w:proofErr w:type="spellEnd"/>
      <w:r>
        <w:t xml:space="preserve"> based denoising and “simple” denoising. </w:t>
      </w:r>
      <w:proofErr w:type="spellStart"/>
      <w:r>
        <w:t>Cellpose</w:t>
      </w:r>
      <w:proofErr w:type="spellEnd"/>
      <w:r>
        <w:t xml:space="preserve"> denoising wraps the image denoising functions &amp; models provided in the </w:t>
      </w:r>
      <w:proofErr w:type="spellStart"/>
      <w:r>
        <w:t>cellpose</w:t>
      </w:r>
      <w:proofErr w:type="spellEnd"/>
      <w:r>
        <w:t xml:space="preserve"> package, or if you want a more thorough treatment of how the code works in </w:t>
      </w:r>
      <w:proofErr w:type="spellStart"/>
      <w:r>
        <w:t>Cellpose</w:t>
      </w:r>
      <w:proofErr w:type="spellEnd"/>
      <w:r>
        <w:t xml:space="preserve"> see their documentation: </w:t>
      </w:r>
      <w:r w:rsidR="00AE651D">
        <w:t>(</w:t>
      </w:r>
      <w:hyperlink r:id="rId10" w:history="1">
        <w:r w:rsidRPr="00387FF9">
          <w:rPr>
            <w:rStyle w:val="Hyperlink"/>
          </w:rPr>
          <w:t xml:space="preserve">Image Restoration — </w:t>
        </w:r>
        <w:proofErr w:type="spellStart"/>
        <w:r w:rsidRPr="00387FF9">
          <w:rPr>
            <w:rStyle w:val="Hyperlink"/>
          </w:rPr>
          <w:t>cellpose</w:t>
        </w:r>
        <w:proofErr w:type="spellEnd"/>
        <w:r w:rsidRPr="00387FF9">
          <w:rPr>
            <w:rStyle w:val="Hyperlink"/>
          </w:rPr>
          <w:t xml:space="preserve"> 3.1.0-2-g537c65d documentation</w:t>
        </w:r>
      </w:hyperlink>
      <w:r w:rsidR="00AE651D">
        <w:t>)</w:t>
      </w:r>
      <w:r>
        <w:t xml:space="preserve"> or </w:t>
      </w:r>
      <w:r w:rsidR="00AE651D">
        <w:t>a thorough treatment of these denoising models in general, see the preprint (</w:t>
      </w:r>
      <w:hyperlink r:id="rId11" w:history="1">
        <w:r w:rsidR="00AE651D" w:rsidRPr="00AE651D">
          <w:rPr>
            <w:rStyle w:val="Hyperlink"/>
          </w:rPr>
          <w:t xml:space="preserve">Cellpose3: one-click image restoration for improved cellular segmentation | </w:t>
        </w:r>
        <w:proofErr w:type="spellStart"/>
        <w:r w:rsidR="00AE651D" w:rsidRPr="00AE651D">
          <w:rPr>
            <w:rStyle w:val="Hyperlink"/>
          </w:rPr>
          <w:t>bioRxiv</w:t>
        </w:r>
        <w:proofErr w:type="spellEnd"/>
      </w:hyperlink>
      <w:r w:rsidR="00AE651D">
        <w:t>)</w:t>
      </w:r>
      <w:r>
        <w:t xml:space="preserve">. </w:t>
      </w:r>
      <w:r w:rsidR="00AE651D">
        <w:t xml:space="preserve">Importantly, the denoising models supplied by </w:t>
      </w:r>
      <w:proofErr w:type="spellStart"/>
      <w:r w:rsidR="00AE651D">
        <w:t>cellpose</w:t>
      </w:r>
      <w:proofErr w:type="spellEnd"/>
      <w:r w:rsidR="00AE651D">
        <w:t xml:space="preserve"> were trained with</w:t>
      </w:r>
      <w:r w:rsidR="00F438CE">
        <w:t xml:space="preserve"> </w:t>
      </w:r>
      <w:proofErr w:type="spellStart"/>
      <w:r w:rsidR="00F438CE">
        <w:t>cellpose</w:t>
      </w:r>
      <w:proofErr w:type="spellEnd"/>
      <w:r w:rsidR="00AE651D">
        <w:t xml:space="preserve"> segmentation in mind. As in, instead of being trained to</w:t>
      </w:r>
      <w:r w:rsidR="00F438CE">
        <w:t xml:space="preserve"> only</w:t>
      </w:r>
      <w:r w:rsidR="00AE651D">
        <w:t xml:space="preserve"> try and re-create ‘clean’ images from ‘noisy’ images, they were trained to restore the image such that ‘noisy’ images would re-create </w:t>
      </w:r>
      <w:r w:rsidR="00F438CE">
        <w:t>a similar appearance and</w:t>
      </w:r>
      <w:r w:rsidR="00AE651D">
        <w:t xml:space="preserve"> same segmentation as found for ‘clean’ images.</w:t>
      </w:r>
      <w:r w:rsidR="00801D10">
        <w:t xml:space="preserve"> This means their best use may be </w:t>
      </w:r>
      <w:proofErr w:type="spellStart"/>
      <w:r w:rsidR="00801D10">
        <w:t>specficially</w:t>
      </w:r>
      <w:proofErr w:type="spellEnd"/>
      <w:r w:rsidR="00801D10">
        <w:t xml:space="preserve"> to prepare images for segmentation – in particular </w:t>
      </w:r>
      <w:proofErr w:type="spellStart"/>
      <w:r w:rsidR="00801D10">
        <w:t>cellpose</w:t>
      </w:r>
      <w:proofErr w:type="spellEnd"/>
      <w:r w:rsidR="00801D10">
        <w:t xml:space="preserve"> segmentation using the same </w:t>
      </w:r>
      <w:proofErr w:type="spellStart"/>
      <w:r w:rsidR="00801D10">
        <w:t>cellpose</w:t>
      </w:r>
      <w:proofErr w:type="spellEnd"/>
      <w:r w:rsidR="00801D10">
        <w:t xml:space="preserve"> model used in denoising! </w:t>
      </w:r>
    </w:p>
    <w:p w14:paraId="032E6331" w14:textId="37BE2642" w:rsidR="00801D10" w:rsidRDefault="00801D10" w:rsidP="00E14496">
      <w:pPr>
        <w:jc w:val="center"/>
      </w:pPr>
      <w:r>
        <w:rPr>
          <w:noProof/>
        </w:rPr>
        <w:lastRenderedPageBreak/>
        <w:drawing>
          <wp:inline distT="0" distB="0" distL="0" distR="0" wp14:anchorId="14CE7C88" wp14:editId="2FBE0E51">
            <wp:extent cx="4311650" cy="3085806"/>
            <wp:effectExtent l="0" t="0" r="0" b="635"/>
            <wp:docPr id="20038582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58267" name="Picture 1" descr="A screenshot of a computer&#10;&#10;Description automatically generated"/>
                    <pic:cNvPicPr/>
                  </pic:nvPicPr>
                  <pic:blipFill rotWithShape="1">
                    <a:blip r:embed="rId12"/>
                    <a:srcRect t="966" b="1327"/>
                    <a:stretch/>
                  </pic:blipFill>
                  <pic:spPr bwMode="auto">
                    <a:xfrm>
                      <a:off x="0" y="0"/>
                      <a:ext cx="4328519" cy="3097879"/>
                    </a:xfrm>
                    <a:prstGeom prst="rect">
                      <a:avLst/>
                    </a:prstGeom>
                    <a:ln>
                      <a:noFill/>
                    </a:ln>
                    <a:extLst>
                      <a:ext uri="{53640926-AAD7-44D8-BBD7-CCE9431645EC}">
                        <a14:shadowObscured xmlns:a14="http://schemas.microsoft.com/office/drawing/2010/main"/>
                      </a:ext>
                    </a:extLst>
                  </pic:spPr>
                </pic:pic>
              </a:graphicData>
            </a:graphic>
          </wp:inline>
        </w:drawing>
      </w:r>
    </w:p>
    <w:p w14:paraId="04E0825A" w14:textId="62694259" w:rsidR="00801D10" w:rsidRDefault="00801D10" w:rsidP="00550536">
      <w:r>
        <w:t xml:space="preserve">‘Simple’ denoising, on the other hand, uses j-invariant optimization for a non-local means denoiser. See the following for information on how the optimization is performed. </w:t>
      </w:r>
      <w:hyperlink r:id="rId13" w:history="1">
        <w:r w:rsidRPr="00801D10">
          <w:rPr>
            <w:rStyle w:val="Hyperlink"/>
          </w:rPr>
          <w:t xml:space="preserve">Calibrating Denoisers Using J-Invariance — </w:t>
        </w:r>
        <w:proofErr w:type="spellStart"/>
        <w:r w:rsidRPr="00801D10">
          <w:rPr>
            <w:rStyle w:val="Hyperlink"/>
          </w:rPr>
          <w:t>skimage</w:t>
        </w:r>
        <w:proofErr w:type="spellEnd"/>
        <w:r w:rsidRPr="00801D10">
          <w:rPr>
            <w:rStyle w:val="Hyperlink"/>
          </w:rPr>
          <w:t xml:space="preserve"> 0.25.0 documentation</w:t>
        </w:r>
      </w:hyperlink>
      <w:r>
        <w:t>. However, because j-invariant denoising tended to produce a checker-board pattern</w:t>
      </w:r>
      <w:r w:rsidR="00816601">
        <w:t xml:space="preserve">, I averaged the output of the optimized j-invariant denoiser with the output of a standard non-local means denoiser (not j-invariant) with the same parameters as the optimized denoiser. This process is much slower than the </w:t>
      </w:r>
      <w:proofErr w:type="spellStart"/>
      <w:r w:rsidR="00816601">
        <w:t>cellpose</w:t>
      </w:r>
      <w:proofErr w:type="spellEnd"/>
      <w:r w:rsidR="00816601">
        <w:t xml:space="preserve"> denoising, but</w:t>
      </w:r>
      <w:r w:rsidR="00E14496">
        <w:t xml:space="preserve"> it</w:t>
      </w:r>
      <w:r w:rsidR="00816601">
        <w:t xml:space="preserve"> is available if desired.</w:t>
      </w:r>
    </w:p>
    <w:p w14:paraId="180404CA" w14:textId="569EEFBD" w:rsidR="00C6218E" w:rsidRDefault="00C6218E" w:rsidP="00A15521">
      <w:pPr>
        <w:jc w:val="center"/>
      </w:pPr>
      <w:r w:rsidRPr="00E14496">
        <w:rPr>
          <w:u w:val="single"/>
        </w:rPr>
        <w:t>Example Denoising Outputs:</w:t>
      </w:r>
      <w:r w:rsidR="00E14496" w:rsidRPr="00E14496">
        <w:drawing>
          <wp:inline distT="0" distB="0" distL="0" distR="0" wp14:anchorId="22C1E695" wp14:editId="37646D8C">
            <wp:extent cx="4625736" cy="3329940"/>
            <wp:effectExtent l="0" t="0" r="3810" b="3810"/>
            <wp:docPr id="695887179" name="Picture 1" descr="A collage of images of cellulose and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87179" name="Picture 1" descr="A collage of images of cellulose and cellphone&#10;&#10;Description automatically generated"/>
                    <pic:cNvPicPr/>
                  </pic:nvPicPr>
                  <pic:blipFill>
                    <a:blip r:embed="rId14"/>
                    <a:stretch>
                      <a:fillRect/>
                    </a:stretch>
                  </pic:blipFill>
                  <pic:spPr>
                    <a:xfrm>
                      <a:off x="0" y="0"/>
                      <a:ext cx="4736879" cy="3409948"/>
                    </a:xfrm>
                    <a:prstGeom prst="rect">
                      <a:avLst/>
                    </a:prstGeom>
                  </pic:spPr>
                </pic:pic>
              </a:graphicData>
            </a:graphic>
          </wp:inline>
        </w:drawing>
      </w:r>
    </w:p>
    <w:p w14:paraId="2B92049E" w14:textId="477AA368" w:rsidR="00C6218E" w:rsidRDefault="00E14496" w:rsidP="00550536">
      <w:pPr>
        <w:rPr>
          <w:u w:val="single"/>
        </w:rPr>
      </w:pPr>
      <w:r>
        <w:rPr>
          <w:u w:val="single"/>
        </w:rPr>
        <w:lastRenderedPageBreak/>
        <w:t>What is Denoising good for?</w:t>
      </w:r>
    </w:p>
    <w:p w14:paraId="26AE8E3A" w14:textId="77777777" w:rsidR="0010211F" w:rsidRDefault="00E14496" w:rsidP="00550536">
      <w:r>
        <w:t xml:space="preserve">Denoising </w:t>
      </w:r>
      <w:r w:rsidR="0010211F">
        <w:t xml:space="preserve">an image always reduces the information an in image, usually blurring pixelated regions and reducing or removing “noisy” pixels. This carries inherent risks in that real signal will be discarded as noise. </w:t>
      </w:r>
    </w:p>
    <w:p w14:paraId="710490EB" w14:textId="4539239D" w:rsidR="00E14496" w:rsidRDefault="0010211F" w:rsidP="00550536">
      <w:r>
        <w:t xml:space="preserve">The goal of denoising is to improve the signal-to-noise ratio (SNR), accepting some loss of signal in exchange for better SNR, since too much noise can drown out the real signal. </w:t>
      </w:r>
    </w:p>
    <w:p w14:paraId="048C5037" w14:textId="28A6D998" w:rsidR="0010211F" w:rsidRDefault="0010211F" w:rsidP="00550536">
      <w:r>
        <w:t xml:space="preserve">Apart from seeking to improve SNR of noisy channels, denoising can also be used to improve the segmentation of images. Unlike the potential loss of signal described above, denoising to improve segmentation is </w:t>
      </w:r>
      <w:proofErr w:type="gramStart"/>
      <w:r>
        <w:t>low-risk</w:t>
      </w:r>
      <w:proofErr w:type="gramEnd"/>
      <w:r>
        <w:t xml:space="preserve"> because the region measurements from the cell segmentation can still be read from the original (pre-denoising) images, if desired. </w:t>
      </w:r>
    </w:p>
    <w:p w14:paraId="3F476434" w14:textId="7623DA12" w:rsidR="0010211F" w:rsidRDefault="0010211F" w:rsidP="0010211F">
      <w:pPr>
        <w:pStyle w:val="Heading3"/>
      </w:pPr>
      <w:r>
        <w:t>Cell Segmentation</w:t>
      </w:r>
    </w:p>
    <w:p w14:paraId="69BE3507" w14:textId="77777777" w:rsidR="00A15521" w:rsidRDefault="00030C7F" w:rsidP="00A15521">
      <w:r>
        <w:t xml:space="preserve">Segmentation creates regions identifying where the cells are in the images of the dataset – and necessary and critical step in the analysis of cellular imaging data. The </w:t>
      </w:r>
      <w:proofErr w:type="spellStart"/>
      <w:r>
        <w:t>PalmettoBUG</w:t>
      </w:r>
      <w:proofErr w:type="spellEnd"/>
      <w:r>
        <w:t xml:space="preserve"> GUI wraps two generalist cell segmentation packages – </w:t>
      </w:r>
      <w:proofErr w:type="spellStart"/>
      <w:r>
        <w:t>Cellpose</w:t>
      </w:r>
      <w:proofErr w:type="spellEnd"/>
      <w:r>
        <w:t xml:space="preserve"> and </w:t>
      </w:r>
      <w:proofErr w:type="spellStart"/>
      <w:r>
        <w:t>DeepCell</w:t>
      </w:r>
      <w:proofErr w:type="spellEnd"/>
      <w:r>
        <w:t xml:space="preserve"> / Mesmer. These packages offer 1 or more models that were trained on many datasets </w:t>
      </w:r>
      <w:proofErr w:type="gramStart"/>
      <w:r>
        <w:t>in order to</w:t>
      </w:r>
      <w:proofErr w:type="gramEnd"/>
      <w:r>
        <w:t xml:space="preserve"> make them decent at identifying many different types of cells. These segmentation results are frequently good enough to data analysis, especially if your data is not so dissimilar to the datasets on which the models were trained. However, if maximally accurate segmentation is required, then generalist algorithms </w:t>
      </w:r>
      <w:r w:rsidR="003166F0">
        <w:t xml:space="preserve">like are offered in </w:t>
      </w:r>
      <w:proofErr w:type="spellStart"/>
      <w:r w:rsidR="003166F0">
        <w:t>PalmettoBUG</w:t>
      </w:r>
      <w:proofErr w:type="spellEnd"/>
      <w:r w:rsidR="003166F0">
        <w:t xml:space="preserve"> </w:t>
      </w:r>
      <w:r>
        <w:t xml:space="preserve">are unlikely to be the best. For example, the </w:t>
      </w:r>
      <w:proofErr w:type="spellStart"/>
      <w:r>
        <w:t>Cellpose</w:t>
      </w:r>
      <w:proofErr w:type="spellEnd"/>
      <w:r>
        <w:t xml:space="preserve"> package offers its own GUI </w:t>
      </w:r>
      <w:r w:rsidR="003166F0">
        <w:t>where users can</w:t>
      </w:r>
      <w:r>
        <w:t xml:space="preserve"> </w:t>
      </w:r>
      <w:proofErr w:type="gramStart"/>
      <w:r>
        <w:t>training</w:t>
      </w:r>
      <w:proofErr w:type="gramEnd"/>
      <w:r>
        <w:t xml:space="preserve"> new models, specifically on the data of your choosing – allowing the model to specifically good at segmenting </w:t>
      </w:r>
      <w:r w:rsidR="003166F0">
        <w:t xml:space="preserve">your cell types. Still, even if segmentation masks are generated in a separate </w:t>
      </w:r>
      <w:proofErr w:type="gramStart"/>
      <w:r w:rsidR="003166F0">
        <w:t>program</w:t>
      </w:r>
      <w:proofErr w:type="gramEnd"/>
      <w:r w:rsidR="003166F0">
        <w:t xml:space="preserve"> they can be easily placed inside the </w:t>
      </w:r>
      <w:proofErr w:type="spellStart"/>
      <w:r w:rsidR="003166F0">
        <w:t>PalmettoBUG</w:t>
      </w:r>
      <w:proofErr w:type="spellEnd"/>
      <w:r w:rsidR="003166F0">
        <w:t xml:space="preserve"> project directory (in a sub-folder of</w:t>
      </w:r>
      <w:r w:rsidR="003166F0" w:rsidRPr="003166F0">
        <w:rPr>
          <w:i/>
          <w:iCs/>
        </w:rPr>
        <w:t xml:space="preserve"> /masks</w:t>
      </w:r>
      <w:r w:rsidR="003166F0">
        <w:t xml:space="preserve">) where they can be used further in the </w:t>
      </w:r>
      <w:proofErr w:type="spellStart"/>
      <w:r w:rsidR="003166F0">
        <w:t>PalmettoBUG</w:t>
      </w:r>
      <w:proofErr w:type="spellEnd"/>
      <w:r w:rsidR="003166F0">
        <w:t xml:space="preserve"> GUI. </w:t>
      </w:r>
    </w:p>
    <w:p w14:paraId="2BC88894" w14:textId="78F4FDEC" w:rsidR="00030C7F" w:rsidRDefault="00030C7F" w:rsidP="00A15521">
      <w:pPr>
        <w:jc w:val="center"/>
      </w:pPr>
      <w:r w:rsidRPr="00030C7F">
        <w:drawing>
          <wp:inline distT="0" distB="0" distL="0" distR="0" wp14:anchorId="079ABC95" wp14:editId="2EB0FB21">
            <wp:extent cx="5420473" cy="3360420"/>
            <wp:effectExtent l="0" t="0" r="8890" b="0"/>
            <wp:docPr id="14608575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57593" name="Picture 1" descr="A screenshot of a computer&#10;&#10;Description automatically generated"/>
                    <pic:cNvPicPr/>
                  </pic:nvPicPr>
                  <pic:blipFill rotWithShape="1">
                    <a:blip r:embed="rId15"/>
                    <a:srcRect b="1319"/>
                    <a:stretch/>
                  </pic:blipFill>
                  <pic:spPr bwMode="auto">
                    <a:xfrm>
                      <a:off x="0" y="0"/>
                      <a:ext cx="5440931" cy="3373103"/>
                    </a:xfrm>
                    <a:prstGeom prst="rect">
                      <a:avLst/>
                    </a:prstGeom>
                    <a:ln>
                      <a:noFill/>
                    </a:ln>
                    <a:extLst>
                      <a:ext uri="{53640926-AAD7-44D8-BBD7-CCE9431645EC}">
                        <a14:shadowObscured xmlns:a14="http://schemas.microsoft.com/office/drawing/2010/main"/>
                      </a:ext>
                    </a:extLst>
                  </pic:spPr>
                </pic:pic>
              </a:graphicData>
            </a:graphic>
          </wp:inline>
        </w:drawing>
      </w:r>
    </w:p>
    <w:p w14:paraId="52207A5A" w14:textId="739BCDCC" w:rsidR="003166F0" w:rsidRDefault="003166F0" w:rsidP="0010211F">
      <w:proofErr w:type="spellStart"/>
      <w:r>
        <w:rPr>
          <w:u w:val="single"/>
        </w:rPr>
        <w:lastRenderedPageBreak/>
        <w:t>DeepCell</w:t>
      </w:r>
      <w:proofErr w:type="spellEnd"/>
      <w:r>
        <w:rPr>
          <w:u w:val="single"/>
        </w:rPr>
        <w:t xml:space="preserve"> vs. </w:t>
      </w:r>
      <w:proofErr w:type="spellStart"/>
      <w:r>
        <w:rPr>
          <w:u w:val="single"/>
        </w:rPr>
        <w:t>Cellpose</w:t>
      </w:r>
      <w:proofErr w:type="spellEnd"/>
    </w:p>
    <w:p w14:paraId="3100A554" w14:textId="3D37CD3F" w:rsidR="003166F0" w:rsidRDefault="003166F0" w:rsidP="0010211F">
      <w:proofErr w:type="spellStart"/>
      <w:r>
        <w:t>DeepCell</w:t>
      </w:r>
      <w:proofErr w:type="spellEnd"/>
      <w:r>
        <w:t xml:space="preserve"> is far simpler than </w:t>
      </w:r>
      <w:proofErr w:type="spellStart"/>
      <w:r>
        <w:t>Cellpose</w:t>
      </w:r>
      <w:proofErr w:type="spellEnd"/>
      <w:r>
        <w:t xml:space="preserve">: it only needs to know what channels to use (from the panel) and what images to process. It tends to create consistent, decent mask predictions with only this information – however in my experience it is not good at segmenting cell cytoplasm (often effectively only finding the nuclei), although this may be a consequence of sub-par cytoplasmic marker signal. </w:t>
      </w:r>
    </w:p>
    <w:p w14:paraId="3D0CB9C2" w14:textId="0E76DACA" w:rsidR="003166F0" w:rsidRDefault="003166F0" w:rsidP="0010211F">
      <w:proofErr w:type="spellStart"/>
      <w:r>
        <w:t>Cellpose</w:t>
      </w:r>
      <w:proofErr w:type="spellEnd"/>
      <w:r>
        <w:t xml:space="preserve">, on the other hand, can take </w:t>
      </w:r>
      <w:proofErr w:type="gramStart"/>
      <w:r>
        <w:t>a large number of</w:t>
      </w:r>
      <w:proofErr w:type="gramEnd"/>
      <w:r>
        <w:t xml:space="preserve"> additional parameters, such as average cell size (I usually have been setting this to ~65 or so) and type of model (</w:t>
      </w:r>
      <w:proofErr w:type="spellStart"/>
      <w:r>
        <w:t>cellpose</w:t>
      </w:r>
      <w:proofErr w:type="spellEnd"/>
      <w:r>
        <w:t xml:space="preserve"> offers a number of different models, some specialized for particular cell types). Without specifying decent values for these parameters, </w:t>
      </w:r>
      <w:proofErr w:type="spellStart"/>
      <w:r>
        <w:t>Cellpose</w:t>
      </w:r>
      <w:proofErr w:type="spellEnd"/>
      <w:r>
        <w:t xml:space="preserve"> can be quite inaccurate. However, it does offer more control because of this and runs faster than </w:t>
      </w:r>
      <w:proofErr w:type="spellStart"/>
      <w:r>
        <w:t>DeepCell</w:t>
      </w:r>
      <w:proofErr w:type="spellEnd"/>
      <w:r>
        <w:t>.</w:t>
      </w:r>
    </w:p>
    <w:p w14:paraId="49C71C3C" w14:textId="4D019E70" w:rsidR="00387FF9" w:rsidRDefault="003166F0" w:rsidP="00550536">
      <w:r>
        <w:t xml:space="preserve">Both can be accelerated with GPU support, although they use different deep-learning packages – </w:t>
      </w:r>
      <w:proofErr w:type="spellStart"/>
      <w:r>
        <w:t>Cellpose</w:t>
      </w:r>
      <w:proofErr w:type="spellEnd"/>
      <w:r>
        <w:t xml:space="preserve"> uses </w:t>
      </w:r>
      <w:proofErr w:type="spellStart"/>
      <w:r>
        <w:t>PyTorch</w:t>
      </w:r>
      <w:proofErr w:type="spellEnd"/>
      <w:r>
        <w:t xml:space="preserve">, and </w:t>
      </w:r>
      <w:proofErr w:type="spellStart"/>
      <w:r>
        <w:t>DeepCell</w:t>
      </w:r>
      <w:proofErr w:type="spellEnd"/>
      <w:r>
        <w:t xml:space="preserve"> </w:t>
      </w:r>
      <w:proofErr w:type="spellStart"/>
      <w:r>
        <w:t>tensorflow</w:t>
      </w:r>
      <w:proofErr w:type="spellEnd"/>
      <w:r>
        <w:t xml:space="preserve"> – so the set up for the GPU can be complex. Further, for licensing </w:t>
      </w:r>
      <w:proofErr w:type="spellStart"/>
      <w:r>
        <w:t>DeepCell</w:t>
      </w:r>
      <w:proofErr w:type="spellEnd"/>
      <w:r>
        <w:t xml:space="preserve"> is only allowed for non-commercial / academic use</w:t>
      </w:r>
      <w:r w:rsidR="00B16CC3">
        <w:t xml:space="preserve">, while </w:t>
      </w:r>
      <w:proofErr w:type="spellStart"/>
      <w:r w:rsidR="00B16CC3">
        <w:t>Cellpose</w:t>
      </w:r>
      <w:proofErr w:type="spellEnd"/>
      <w:r w:rsidR="00B16CC3">
        <w:t xml:space="preserve"> has no restrictions (although many of its models were trained on ‘non-commercial’ datasets, making a bit of a licensing gray area). </w:t>
      </w:r>
    </w:p>
    <w:p w14:paraId="35422F6C" w14:textId="32DEDA52" w:rsidR="00C6218E" w:rsidRDefault="00B16CC3" w:rsidP="00A15521">
      <w:pPr>
        <w:jc w:val="center"/>
      </w:pPr>
      <w:r w:rsidRPr="00B16CC3">
        <w:rPr>
          <w:u w:val="single"/>
        </w:rPr>
        <w:t>Example segmentation results</w:t>
      </w:r>
      <w:r w:rsidR="00E67331">
        <w:rPr>
          <w:u w:val="single"/>
        </w:rPr>
        <w:t xml:space="preserve"> (colored regions = segmentation masks)</w:t>
      </w:r>
      <w:r w:rsidRPr="00B16CC3">
        <w:rPr>
          <w:u w:val="single"/>
        </w:rPr>
        <w:t>:</w:t>
      </w:r>
      <w:r w:rsidR="00B211CB" w:rsidRPr="00B211CB">
        <w:drawing>
          <wp:inline distT="0" distB="0" distL="0" distR="0" wp14:anchorId="11A9654F" wp14:editId="69BE8ECF">
            <wp:extent cx="5280711" cy="2994660"/>
            <wp:effectExtent l="0" t="0" r="0" b="0"/>
            <wp:docPr id="1756170782" name="Picture 1" descr="A collage of different colored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70782" name="Picture 1" descr="A collage of different colored objects&#10;&#10;Description automatically generated"/>
                    <pic:cNvPicPr/>
                  </pic:nvPicPr>
                  <pic:blipFill>
                    <a:blip r:embed="rId16"/>
                    <a:stretch>
                      <a:fillRect/>
                    </a:stretch>
                  </pic:blipFill>
                  <pic:spPr>
                    <a:xfrm>
                      <a:off x="0" y="0"/>
                      <a:ext cx="5293119" cy="3001697"/>
                    </a:xfrm>
                    <a:prstGeom prst="rect">
                      <a:avLst/>
                    </a:prstGeom>
                  </pic:spPr>
                </pic:pic>
              </a:graphicData>
            </a:graphic>
          </wp:inline>
        </w:drawing>
      </w:r>
    </w:p>
    <w:p w14:paraId="01DE1F1D" w14:textId="73BD0C9E" w:rsidR="00C6218E" w:rsidRDefault="002B420E" w:rsidP="00547A54">
      <w:r>
        <w:t xml:space="preserve">In addition to </w:t>
      </w:r>
      <w:proofErr w:type="spellStart"/>
      <w:r>
        <w:t>Cellpose</w:t>
      </w:r>
      <w:proofErr w:type="spellEnd"/>
      <w:r>
        <w:t xml:space="preserve"> and </w:t>
      </w:r>
      <w:proofErr w:type="spellStart"/>
      <w:r>
        <w:t>Deepcell</w:t>
      </w:r>
      <w:proofErr w:type="spellEnd"/>
      <w:r>
        <w:t xml:space="preserve">, it is worth noting that sometimes segmentation can be done using a pixel classifier inside </w:t>
      </w:r>
      <w:proofErr w:type="spellStart"/>
      <w:r>
        <w:t>PalmettoBUG</w:t>
      </w:r>
      <w:proofErr w:type="spellEnd"/>
      <w:r>
        <w:t>, although this depends on the objects to segment being well separated and roughly circular.</w:t>
      </w:r>
    </w:p>
    <w:p w14:paraId="0DC2F298" w14:textId="61E2EF70" w:rsidR="00C6218E" w:rsidRDefault="007B36EC" w:rsidP="00547A54">
      <w:r>
        <w:rPr>
          <w:u w:val="single"/>
        </w:rPr>
        <w:t>Mask expansion</w:t>
      </w:r>
    </w:p>
    <w:p w14:paraId="132C9B39" w14:textId="7290EF20" w:rsidR="007B36EC" w:rsidRDefault="007B36EC" w:rsidP="00547A54">
      <w:r>
        <w:t xml:space="preserve">Sometimes expanding a mask can be useful, particularly if the model / current segmentation method only was able to identify the nuclei of cells. This is because expanding the nuclei masks by a fixed amount can capture some of the cytoplasm surrounding each nucleus while assuming that </w:t>
      </w:r>
      <w:r>
        <w:lastRenderedPageBreak/>
        <w:t>that cytoplasm is usually going to belong to the nearest nucleus. This is obviously an imperfect assumption and procedure for segmentation, but can still be an improvement. Segmentation in general</w:t>
      </w:r>
      <w:proofErr w:type="gramStart"/>
      <w:r>
        <w:t>, and in particular</w:t>
      </w:r>
      <w:proofErr w:type="gramEnd"/>
      <w:r>
        <w:t xml:space="preserve"> any rapid / non-manual method of segmentation, will always have errors so it is mainly a matter of getting a “good-enough” final result.</w:t>
      </w:r>
    </w:p>
    <w:p w14:paraId="3F9910EB" w14:textId="03216CC9" w:rsidR="007B36EC" w:rsidRPr="007B36EC" w:rsidRDefault="007B36EC" w:rsidP="00A15521">
      <w:pPr>
        <w:jc w:val="center"/>
        <w:rPr>
          <w:u w:val="single"/>
        </w:rPr>
      </w:pPr>
      <w:r>
        <w:rPr>
          <w:u w:val="single"/>
        </w:rPr>
        <w:t>Example of expansion:</w:t>
      </w:r>
      <w:r w:rsidR="00A15521">
        <w:rPr>
          <w:u w:val="single"/>
        </w:rPr>
        <w:t xml:space="preserve">      </w:t>
      </w:r>
      <w:r w:rsidRPr="00A15521">
        <w:drawing>
          <wp:inline distT="0" distB="0" distL="0" distR="0" wp14:anchorId="4196F969" wp14:editId="35BBF11F">
            <wp:extent cx="4453976" cy="2278380"/>
            <wp:effectExtent l="0" t="0" r="3810" b="7620"/>
            <wp:docPr id="37030238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02384" name="Picture 1" descr="A screenshot of a computer screen&#10;&#10;Description automatically generated"/>
                    <pic:cNvPicPr/>
                  </pic:nvPicPr>
                  <pic:blipFill rotWithShape="1">
                    <a:blip r:embed="rId17"/>
                    <a:srcRect b="2026"/>
                    <a:stretch/>
                  </pic:blipFill>
                  <pic:spPr bwMode="auto">
                    <a:xfrm>
                      <a:off x="0" y="0"/>
                      <a:ext cx="4481837" cy="2292632"/>
                    </a:xfrm>
                    <a:prstGeom prst="rect">
                      <a:avLst/>
                    </a:prstGeom>
                    <a:ln>
                      <a:noFill/>
                    </a:ln>
                    <a:extLst>
                      <a:ext uri="{53640926-AAD7-44D8-BBD7-CCE9431645EC}">
                        <a14:shadowObscured xmlns:a14="http://schemas.microsoft.com/office/drawing/2010/main"/>
                      </a:ext>
                    </a:extLst>
                  </pic:spPr>
                </pic:pic>
              </a:graphicData>
            </a:graphic>
          </wp:inline>
        </w:drawing>
      </w:r>
    </w:p>
    <w:p w14:paraId="35A320F9" w14:textId="4BAE7188" w:rsidR="007B36EC" w:rsidRDefault="00BD71CF" w:rsidP="00BD71CF">
      <w:pPr>
        <w:pStyle w:val="Heading3"/>
      </w:pPr>
      <w:r>
        <w:t>Region Measurements</w:t>
      </w:r>
    </w:p>
    <w:p w14:paraId="57A0038C" w14:textId="193B1D9A" w:rsidR="00C6218E" w:rsidRDefault="00BD71CF" w:rsidP="00547A54">
      <w:r>
        <w:t xml:space="preserve">Once cell segmentation masks are created (and any denoising has been performed), the </w:t>
      </w:r>
      <w:proofErr w:type="spellStart"/>
      <w:r>
        <w:t>isoSegDenoise</w:t>
      </w:r>
      <w:proofErr w:type="spellEnd"/>
      <w:r>
        <w:t xml:space="preserve"> program is no longer needed and we can return to the main </w:t>
      </w:r>
      <w:proofErr w:type="spellStart"/>
      <w:r>
        <w:t>PalmettoBUG</w:t>
      </w:r>
      <w:proofErr w:type="spellEnd"/>
      <w:r>
        <w:t xml:space="preserve"> program. The next step in the pipeline will be taking region measurements. This takes a set of masks we created earlier (they will be in a subfolder of the </w:t>
      </w:r>
      <w:r w:rsidRPr="00BD71CF">
        <w:rPr>
          <w:i/>
          <w:iCs/>
        </w:rPr>
        <w:t>/masks</w:t>
      </w:r>
      <w:r>
        <w:t xml:space="preserve"> folder in the project directory) </w:t>
      </w:r>
      <w:r w:rsidRPr="00BD71CF">
        <w:t>and</w:t>
      </w:r>
      <w:r>
        <w:t xml:space="preserve"> combines them with a set of images </w:t>
      </w:r>
      <w:r>
        <w:t xml:space="preserve">(they will be in a subfolder of the </w:t>
      </w:r>
      <w:r w:rsidRPr="00BD71CF">
        <w:rPr>
          <w:i/>
          <w:iCs/>
        </w:rPr>
        <w:t>/</w:t>
      </w:r>
      <w:r>
        <w:rPr>
          <w:i/>
          <w:iCs/>
        </w:rPr>
        <w:t>image</w:t>
      </w:r>
      <w:r w:rsidRPr="00BD71CF">
        <w:rPr>
          <w:i/>
          <w:iCs/>
        </w:rPr>
        <w:t>s</w:t>
      </w:r>
      <w:r>
        <w:t xml:space="preserve"> folder in the project directory)</w:t>
      </w:r>
      <w:r>
        <w:t>. A statistic (usually the mean) from every channel for each mask is read looking at only the pixels within the mask – this gets saved in one set of .csv files (“intensities”). Meanwhile, for each mask a set of characteristics are recorded about the shape and source of the mask is saved (in “</w:t>
      </w:r>
      <w:proofErr w:type="spellStart"/>
      <w:r>
        <w:t>regionprops</w:t>
      </w:r>
      <w:proofErr w:type="spellEnd"/>
      <w:r>
        <w:t xml:space="preserve">” csv’s). This includes things like the area and perimeter length of each mask. </w:t>
      </w:r>
      <w:r w:rsidR="00993607">
        <w:t xml:space="preserve">The procedure / outputs for this step matches how the steinbock pipeline operates (and steinbock is the starting point on which the </w:t>
      </w:r>
      <w:proofErr w:type="spellStart"/>
      <w:r w:rsidR="00993607">
        <w:t>PalmettoBUG</w:t>
      </w:r>
      <w:proofErr w:type="spellEnd"/>
      <w:r w:rsidR="00993607">
        <w:t xml:space="preserve"> code was built).</w:t>
      </w:r>
    </w:p>
    <w:p w14:paraId="5F8FB8DA" w14:textId="7FC63FBA" w:rsidR="00993607" w:rsidRDefault="00BD71CF" w:rsidP="00757651">
      <w:r w:rsidRPr="00993607">
        <w:rPr>
          <w:b/>
          <w:bCs/>
        </w:rPr>
        <w:t>NOTE! –</w:t>
      </w:r>
      <w:r>
        <w:t xml:space="preserve"> Be careful to ensure that all the images are present in the folder you select and that all the images have a corresponding mask in the mask folder you select! You can check this in the project directory itself, or just be sure when using the GUI that you don’t accidently create a single mask (which can be a good practice to see a sample of the results for that model) and then forget to run the rest of the folder of images. Each image and mask should have identical file names (just be in different folders)</w:t>
      </w:r>
      <w:r w:rsidR="00993607">
        <w:t xml:space="preserve">, and there should not be any extra files in the two folders – this is part of how </w:t>
      </w:r>
      <w:proofErr w:type="spellStart"/>
      <w:r w:rsidR="00993607">
        <w:t>PalmettoBUG</w:t>
      </w:r>
      <w:proofErr w:type="spellEnd"/>
      <w:r w:rsidR="00993607">
        <w:t xml:space="preserve"> knows how to find and pair an image with its corresponding cell mask. </w:t>
      </w:r>
    </w:p>
    <w:p w14:paraId="62623037" w14:textId="3A6D3D98" w:rsidR="00757651" w:rsidRDefault="00757651" w:rsidP="00757651">
      <w:pPr>
        <w:jc w:val="center"/>
      </w:pPr>
      <w:r w:rsidRPr="00757651">
        <w:lastRenderedPageBreak/>
        <w:drawing>
          <wp:inline distT="0" distB="0" distL="0" distR="0" wp14:anchorId="0BE0BE73" wp14:editId="445B2DB3">
            <wp:extent cx="5036185" cy="3055620"/>
            <wp:effectExtent l="0" t="0" r="0" b="0"/>
            <wp:docPr id="19598694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69470" name="Picture 1" descr="A screenshot of a computer&#10;&#10;Description automatically generated"/>
                    <pic:cNvPicPr/>
                  </pic:nvPicPr>
                  <pic:blipFill rotWithShape="1">
                    <a:blip r:embed="rId18"/>
                    <a:srcRect t="-1" b="17791"/>
                    <a:stretch/>
                  </pic:blipFill>
                  <pic:spPr bwMode="auto">
                    <a:xfrm>
                      <a:off x="0" y="0"/>
                      <a:ext cx="5051559" cy="3064948"/>
                    </a:xfrm>
                    <a:prstGeom prst="rect">
                      <a:avLst/>
                    </a:prstGeom>
                    <a:ln>
                      <a:noFill/>
                    </a:ln>
                    <a:extLst>
                      <a:ext uri="{53640926-AAD7-44D8-BBD7-CCE9431645EC}">
                        <a14:shadowObscured xmlns:a14="http://schemas.microsoft.com/office/drawing/2010/main"/>
                      </a:ext>
                    </a:extLst>
                  </pic:spPr>
                </pic:pic>
              </a:graphicData>
            </a:graphic>
          </wp:inline>
        </w:drawing>
      </w:r>
    </w:p>
    <w:p w14:paraId="21B95609" w14:textId="77777777" w:rsidR="00757651" w:rsidRDefault="00757651" w:rsidP="00757651">
      <w:r>
        <w:t xml:space="preserve">Performing region measurements also start the preliminary set up for a single-cell analysis directory. This new single-cell analysis folder is set up within the larger image project directory, as a sub-folder in </w:t>
      </w:r>
      <w:r>
        <w:rPr>
          <w:i/>
          <w:iCs/>
        </w:rPr>
        <w:t>/Analyses</w:t>
      </w:r>
      <w:r>
        <w:t xml:space="preserve">. </w:t>
      </w:r>
    </w:p>
    <w:p w14:paraId="59F3E426" w14:textId="68578E41" w:rsidR="00993607" w:rsidRDefault="00993607" w:rsidP="00993607">
      <w:pPr>
        <w:pStyle w:val="Heading3"/>
      </w:pPr>
      <w:r>
        <w:t>Transition to Single-Cell Analysis</w:t>
      </w:r>
    </w:p>
    <w:p w14:paraId="4737253E" w14:textId="77777777" w:rsidR="00757651" w:rsidRDefault="00993607" w:rsidP="00993607">
      <w:r>
        <w:t xml:space="preserve">The final step of the image processing pipeline in </w:t>
      </w:r>
      <w:proofErr w:type="spellStart"/>
      <w:r>
        <w:t>PalmettoBUG</w:t>
      </w:r>
      <w:proofErr w:type="spellEnd"/>
      <w:r>
        <w:t xml:space="preserve"> is to leave the image processing pipeline! </w:t>
      </w:r>
    </w:p>
    <w:p w14:paraId="555087C0" w14:textId="1FE05936" w:rsidR="00993607" w:rsidRDefault="00993607" w:rsidP="00993607">
      <w:r>
        <w:t xml:space="preserve">If you have </w:t>
      </w:r>
      <w:r w:rsidR="00757651">
        <w:t xml:space="preserve">done region measurement successfully, then there will a folder inside the project directory ready to begin the single-cell analysis with. There can be as many analyses as you want inside a project. Having more than one analysis can be useful if you are comparing the effect of different segmentations, or different </w:t>
      </w:r>
      <w:proofErr w:type="spellStart"/>
      <w:r w:rsidR="00757651">
        <w:t>denoisings</w:t>
      </w:r>
      <w:proofErr w:type="spellEnd"/>
      <w:r w:rsidR="00757651">
        <w:t>, on your cell clustering or other single-cell results.</w:t>
      </w:r>
    </w:p>
    <w:p w14:paraId="173C2EA9" w14:textId="34515458" w:rsidR="00757651" w:rsidRDefault="00757651" w:rsidP="00757651">
      <w:pPr>
        <w:jc w:val="center"/>
      </w:pPr>
      <w:r w:rsidRPr="00757651">
        <w:drawing>
          <wp:inline distT="0" distB="0" distL="0" distR="0" wp14:anchorId="2F1D91A1" wp14:editId="6E0CBA11">
            <wp:extent cx="5143500" cy="2771775"/>
            <wp:effectExtent l="0" t="0" r="0" b="9525"/>
            <wp:docPr id="826378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7814" name="Picture 1" descr="A screenshot of a computer&#10;&#10;Description automatically generated"/>
                    <pic:cNvPicPr/>
                  </pic:nvPicPr>
                  <pic:blipFill>
                    <a:blip r:embed="rId19"/>
                    <a:stretch>
                      <a:fillRect/>
                    </a:stretch>
                  </pic:blipFill>
                  <pic:spPr>
                    <a:xfrm>
                      <a:off x="0" y="0"/>
                      <a:ext cx="5150028" cy="2775293"/>
                    </a:xfrm>
                    <a:prstGeom prst="rect">
                      <a:avLst/>
                    </a:prstGeom>
                  </pic:spPr>
                </pic:pic>
              </a:graphicData>
            </a:graphic>
          </wp:inline>
        </w:drawing>
      </w:r>
    </w:p>
    <w:p w14:paraId="67680841" w14:textId="7C4D84F4" w:rsidR="00757651" w:rsidRPr="00993607" w:rsidRDefault="00757651" w:rsidP="00757651">
      <w:r>
        <w:lastRenderedPageBreak/>
        <w:t>As for what happens next, after clicking “Go to Analysis!” – well for that we’ll need to turn the page into the Single-Cell analysis documentation.</w:t>
      </w:r>
    </w:p>
    <w:sectPr w:rsidR="00757651" w:rsidRPr="00993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F7C0B"/>
    <w:multiLevelType w:val="hybridMultilevel"/>
    <w:tmpl w:val="4FB66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A15E7C"/>
    <w:multiLevelType w:val="hybridMultilevel"/>
    <w:tmpl w:val="5E4C1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2914263">
    <w:abstractNumId w:val="1"/>
  </w:num>
  <w:num w:numId="2" w16cid:durableId="1664965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47F"/>
    <w:rsid w:val="00030C7F"/>
    <w:rsid w:val="00033B3B"/>
    <w:rsid w:val="000B5B31"/>
    <w:rsid w:val="0010211F"/>
    <w:rsid w:val="001F0E8D"/>
    <w:rsid w:val="00210922"/>
    <w:rsid w:val="002B420E"/>
    <w:rsid w:val="002E0277"/>
    <w:rsid w:val="003166F0"/>
    <w:rsid w:val="00362286"/>
    <w:rsid w:val="00387FF9"/>
    <w:rsid w:val="003F52DB"/>
    <w:rsid w:val="004D6052"/>
    <w:rsid w:val="00547A54"/>
    <w:rsid w:val="00550536"/>
    <w:rsid w:val="00593796"/>
    <w:rsid w:val="005C5C42"/>
    <w:rsid w:val="00607FBE"/>
    <w:rsid w:val="0063576E"/>
    <w:rsid w:val="00757651"/>
    <w:rsid w:val="007B36EC"/>
    <w:rsid w:val="007E219D"/>
    <w:rsid w:val="00801D10"/>
    <w:rsid w:val="00816601"/>
    <w:rsid w:val="00950AB0"/>
    <w:rsid w:val="0096032A"/>
    <w:rsid w:val="00993607"/>
    <w:rsid w:val="00A15521"/>
    <w:rsid w:val="00A433EB"/>
    <w:rsid w:val="00A82865"/>
    <w:rsid w:val="00AE651D"/>
    <w:rsid w:val="00B16CC3"/>
    <w:rsid w:val="00B211CB"/>
    <w:rsid w:val="00B57004"/>
    <w:rsid w:val="00B95589"/>
    <w:rsid w:val="00BD71CF"/>
    <w:rsid w:val="00C4103E"/>
    <w:rsid w:val="00C6218E"/>
    <w:rsid w:val="00D14C2B"/>
    <w:rsid w:val="00D61F25"/>
    <w:rsid w:val="00E14496"/>
    <w:rsid w:val="00E67331"/>
    <w:rsid w:val="00F2747F"/>
    <w:rsid w:val="00F43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9B35E"/>
  <w15:chartTrackingRefBased/>
  <w15:docId w15:val="{0A05E853-46CF-455B-B0B3-7B031C836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7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7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7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7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47F"/>
    <w:rPr>
      <w:rFonts w:eastAsiaTheme="majorEastAsia" w:cstheme="majorBidi"/>
      <w:color w:val="272727" w:themeColor="text1" w:themeTint="D8"/>
    </w:rPr>
  </w:style>
  <w:style w:type="paragraph" w:styleId="Title">
    <w:name w:val="Title"/>
    <w:basedOn w:val="Normal"/>
    <w:next w:val="Normal"/>
    <w:link w:val="TitleChar"/>
    <w:uiPriority w:val="10"/>
    <w:qFormat/>
    <w:rsid w:val="00F27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47F"/>
    <w:pPr>
      <w:spacing w:before="160"/>
      <w:jc w:val="center"/>
    </w:pPr>
    <w:rPr>
      <w:i/>
      <w:iCs/>
      <w:color w:val="404040" w:themeColor="text1" w:themeTint="BF"/>
    </w:rPr>
  </w:style>
  <w:style w:type="character" w:customStyle="1" w:styleId="QuoteChar">
    <w:name w:val="Quote Char"/>
    <w:basedOn w:val="DefaultParagraphFont"/>
    <w:link w:val="Quote"/>
    <w:uiPriority w:val="29"/>
    <w:rsid w:val="00F2747F"/>
    <w:rPr>
      <w:i/>
      <w:iCs/>
      <w:color w:val="404040" w:themeColor="text1" w:themeTint="BF"/>
    </w:rPr>
  </w:style>
  <w:style w:type="paragraph" w:styleId="ListParagraph">
    <w:name w:val="List Paragraph"/>
    <w:basedOn w:val="Normal"/>
    <w:uiPriority w:val="34"/>
    <w:qFormat/>
    <w:rsid w:val="00F2747F"/>
    <w:pPr>
      <w:ind w:left="720"/>
      <w:contextualSpacing/>
    </w:pPr>
  </w:style>
  <w:style w:type="character" w:styleId="IntenseEmphasis">
    <w:name w:val="Intense Emphasis"/>
    <w:basedOn w:val="DefaultParagraphFont"/>
    <w:uiPriority w:val="21"/>
    <w:qFormat/>
    <w:rsid w:val="00F2747F"/>
    <w:rPr>
      <w:i/>
      <w:iCs/>
      <w:color w:val="0F4761" w:themeColor="accent1" w:themeShade="BF"/>
    </w:rPr>
  </w:style>
  <w:style w:type="paragraph" w:styleId="IntenseQuote">
    <w:name w:val="Intense Quote"/>
    <w:basedOn w:val="Normal"/>
    <w:next w:val="Normal"/>
    <w:link w:val="IntenseQuoteChar"/>
    <w:uiPriority w:val="30"/>
    <w:qFormat/>
    <w:rsid w:val="00F27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47F"/>
    <w:rPr>
      <w:i/>
      <w:iCs/>
      <w:color w:val="0F4761" w:themeColor="accent1" w:themeShade="BF"/>
    </w:rPr>
  </w:style>
  <w:style w:type="character" w:styleId="IntenseReference">
    <w:name w:val="Intense Reference"/>
    <w:basedOn w:val="DefaultParagraphFont"/>
    <w:uiPriority w:val="32"/>
    <w:qFormat/>
    <w:rsid w:val="00F2747F"/>
    <w:rPr>
      <w:b/>
      <w:bCs/>
      <w:smallCaps/>
      <w:color w:val="0F4761" w:themeColor="accent1" w:themeShade="BF"/>
      <w:spacing w:val="5"/>
    </w:rPr>
  </w:style>
  <w:style w:type="character" w:styleId="Hyperlink">
    <w:name w:val="Hyperlink"/>
    <w:basedOn w:val="DefaultParagraphFont"/>
    <w:uiPriority w:val="99"/>
    <w:unhideWhenUsed/>
    <w:rsid w:val="00387FF9"/>
    <w:rPr>
      <w:color w:val="467886" w:themeColor="hyperlink"/>
      <w:u w:val="single"/>
    </w:rPr>
  </w:style>
  <w:style w:type="character" w:styleId="UnresolvedMention">
    <w:name w:val="Unresolved Mention"/>
    <w:basedOn w:val="DefaultParagraphFont"/>
    <w:uiPriority w:val="99"/>
    <w:semiHidden/>
    <w:unhideWhenUsed/>
    <w:rsid w:val="00387F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cikit-image.org/docs/stable/auto_examples/filters/plot_j_invariant.html" TargetMode="External"/><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biorxiv.org/content/10.1101/2024.02.10.579780v1"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hyperlink" Target="https://cellpose.readthedocs.io/en/latest/restore.html"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2145</Words>
  <Characters>12229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MUSC</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Caiello, Benjamin</dc:creator>
  <cp:keywords/>
  <dc:description/>
  <cp:lastModifiedBy>Caiello, Benjamin</cp:lastModifiedBy>
  <cp:revision>3</cp:revision>
  <dcterms:created xsi:type="dcterms:W3CDTF">2025-01-21T21:00:00Z</dcterms:created>
  <dcterms:modified xsi:type="dcterms:W3CDTF">2025-01-21T21:04:00Z</dcterms:modified>
</cp:coreProperties>
</file>