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452C3EB" w14:textId="77777777" w:rsidR="009A7A52" w:rsidRDefault="009A7A52" w:rsidP="00870FA7">
      <w:pPr>
        <w:pStyle w:val="Heading1"/>
        <w:spacing w:before="0"/>
      </w:pPr>
    </w:p>
    <w:p w14:paraId="7632B974" w14:textId="77777777" w:rsidR="009A7A52" w:rsidRDefault="00C90451" w:rsidP="00870FA7">
      <w:pPr>
        <w:pStyle w:val="ChapterTitle"/>
        <w:spacing w:before="0"/>
      </w:pPr>
      <w:r>
        <w:t>Introduction</w:t>
      </w:r>
    </w:p>
    <w:p w14:paraId="130181FE" w14:textId="77777777" w:rsidR="00C90451" w:rsidRPr="00C90451" w:rsidRDefault="00C90451" w:rsidP="000850F1">
      <w:pPr>
        <w:pStyle w:val="Heading2"/>
        <w:jc w:val="both"/>
      </w:pPr>
      <w:r>
        <w:t>Scoliosis and anatomy</w:t>
      </w:r>
    </w:p>
    <w:p w14:paraId="3BE4A1A6" w14:textId="6A2BDCB7" w:rsidR="00BF46CF" w:rsidRDefault="006B0102" w:rsidP="000850F1">
      <w:pPr>
        <w:pStyle w:val="BodyMain"/>
        <w:jc w:val="both"/>
      </w:pPr>
      <w:r>
        <w:t>Adolescent idiopathic scoliosis is a common cause of spinal deformation, affecting 1-5% of the population [].</w:t>
      </w:r>
      <w:r w:rsidR="000564D0">
        <w:t xml:space="preserve"> </w:t>
      </w:r>
      <w:r w:rsidR="007E114A">
        <w:t>It is usually diagnosed during early adolescence, and the curvature progresses until growth ceases.</w:t>
      </w:r>
      <w:r w:rsidR="00B035AD">
        <w:t xml:space="preserve"> Symptoms of the disease are largely the result of deformation of the torso; these symptoms may include psychological effects arising from cosmetic aberration, adversely affected balance, and impaired respiratory function if the </w:t>
      </w:r>
      <w:r w:rsidR="006753FF">
        <w:t>deformation</w:t>
      </w:r>
      <w:r w:rsidR="00B035AD">
        <w:t xml:space="preserve"> is allowed to progress.</w:t>
      </w:r>
      <w:r w:rsidR="007E114A">
        <w:t xml:space="preserve"> </w:t>
      </w:r>
      <w:r w:rsidR="00713466">
        <w:t>Such spinal deformation usually consists of multiple components</w:t>
      </w:r>
      <w:r w:rsidR="00C05B21">
        <w:t xml:space="preserve"> in 3 dimensions</w:t>
      </w:r>
      <w:r w:rsidR="00713466">
        <w:t xml:space="preserve">: lateral curvature, sagittal curvature or kyphosis, and axial rotation of vertebral bodies. </w:t>
      </w:r>
    </w:p>
    <w:p w14:paraId="01917A51" w14:textId="77777777" w:rsidR="00C90451" w:rsidRDefault="00EA50DE" w:rsidP="000850F1">
      <w:pPr>
        <w:pStyle w:val="Heading2"/>
        <w:jc w:val="both"/>
      </w:pPr>
      <w:r>
        <w:t>Assessment and visualization</w:t>
      </w:r>
    </w:p>
    <w:p w14:paraId="450E21C9" w14:textId="2EF4E19D" w:rsidR="00EA50DE" w:rsidRDefault="0048439B" w:rsidP="0048439B">
      <w:pPr>
        <w:pStyle w:val="BodyMain"/>
        <w:jc w:val="both"/>
      </w:pPr>
      <w:r>
        <w:t>Despite the 3D nature of the disease, it is assessed on the basis of the lateral curvature and quantified in terms of the Cobb angle. The Cobb angle is defined as the greatest angle between the endplates of any two vertebrae, projected onto the coronal plane. The threshold for diagnosis is typically a Cobb angle of 10°. Patients with Cobb angles less than 20° are monitored at regular intervals, often 3-6 months, depending on the rate of progression. Patients with Cobb angles between 20° and 40° are fitted for braces to slow or halt the progression of the curvature. Once the curvature exceeds 40°, surgical fusing of vertebrae may be used to stabilize the spine.</w:t>
      </w:r>
    </w:p>
    <w:p w14:paraId="3AE55FC8" w14:textId="6832FA07" w:rsidR="00BD66CA" w:rsidRDefault="00BD66CA" w:rsidP="00BD66CA">
      <w:pPr>
        <w:pStyle w:val="BodyMain"/>
        <w:jc w:val="both"/>
      </w:pPr>
      <w:r>
        <w:t>The progressive nature of the disease requires that it be assessed regularly to ensure patients receive appropriate treatment before more drastic options, like surgery, become necessary.</w:t>
      </w:r>
      <w:r w:rsidR="00E11231">
        <w:t xml:space="preserve"> </w:t>
      </w:r>
      <w:r>
        <w:t xml:space="preserve">X-ray imaging </w:t>
      </w:r>
      <w:r w:rsidR="00EB536E">
        <w:t>is currently</w:t>
      </w:r>
      <w:r>
        <w:t xml:space="preserve"> the gold-standard method for assessment of scoliosis</w:t>
      </w:r>
      <w:r w:rsidR="00EB536E">
        <w:t>, for a variety of reasons</w:t>
      </w:r>
      <w:r w:rsidR="00984F2D">
        <w:t>.</w:t>
      </w:r>
      <w:r w:rsidR="00EB536E">
        <w:t xml:space="preserve"> X-ray machines are ubiquitous; they can be found at most clinics and hospitals in economically developed nations.</w:t>
      </w:r>
      <w:r w:rsidR="00E11231">
        <w:t xml:space="preserve"> </w:t>
      </w:r>
      <w:r w:rsidR="00984F2D">
        <w:t>X-ray</w:t>
      </w:r>
      <w:r w:rsidR="00EB536E">
        <w:t xml:space="preserve"> also</w:t>
      </w:r>
      <w:r w:rsidR="00984F2D">
        <w:t xml:space="preserve"> produces good-quality images of the spine, in the sense that bone-tissue interfaces display high contrast, and the full spine can be visualized in the imaging plane. Despite the utility of X-ray, its repetitive use </w:t>
      </w:r>
      <w:r w:rsidR="00984F2D">
        <w:lastRenderedPageBreak/>
        <w:t>during adolescence for scoliosis assessment is associated with an increased risk of cancer due</w:t>
      </w:r>
      <w:r w:rsidR="00EB536E">
        <w:t xml:space="preserve"> to ionizing radiation exposure []. The dangers of radiation exposure, to both patients and practitioners, inflate the monetary cost of X-ray imaging, </w:t>
      </w:r>
      <w:r w:rsidR="000520F8">
        <w:t>because of the need to comply with safety regulations.</w:t>
      </w:r>
      <w:r w:rsidR="00DC40E8">
        <w:t xml:space="preserve"> Low dose X-ray systems are not a viable solution since their cost is neither offset by the reduced cancer risk nor changes in treatment plans versus X-ray</w:t>
      </w:r>
      <w:r w:rsidR="00C84D46">
        <w:t xml:space="preserve"> []</w:t>
      </w:r>
      <w:r w:rsidR="00DC40E8">
        <w:t>.</w:t>
      </w:r>
    </w:p>
    <w:p w14:paraId="03801290" w14:textId="63496300" w:rsidR="00BD66CA" w:rsidRDefault="00EC7479" w:rsidP="0048439B">
      <w:pPr>
        <w:pStyle w:val="BodyMain"/>
        <w:jc w:val="both"/>
      </w:pPr>
      <w:r>
        <w:t>MRI is a radiation-free alternative to X-ray</w:t>
      </w:r>
      <w:r w:rsidR="00630A4D">
        <w:t xml:space="preserve"> which produces excellent images of the spine. However, the availability of MRI machines constitutes a major drawback compared to X-ray. Not only does the cost of MRI machines limit their availability both in terms of geographic distribution and scheduling, but the fact that scoliosis is assessed in a standing posture requires special vertical or open MRI machines. Since scoliosis can impact a </w:t>
      </w:r>
      <w:r w:rsidR="00040D4B">
        <w:t>patient’s</w:t>
      </w:r>
      <w:r w:rsidR="00630A4D">
        <w:t xml:space="preserve"> balance, it can also be challenging for them to remain standing still for the time required to complete the scan.</w:t>
      </w:r>
    </w:p>
    <w:p w14:paraId="39D3065F" w14:textId="6CCB26A3" w:rsidR="00630A4D" w:rsidRDefault="00436989" w:rsidP="0048439B">
      <w:pPr>
        <w:pStyle w:val="BodyMain"/>
        <w:jc w:val="both"/>
      </w:pPr>
      <w:r>
        <w:t>Optical methods have been investigated for scoliosis assessment [].</w:t>
      </w:r>
      <w:r w:rsidR="00EC4887">
        <w:t xml:space="preserve"> These methods make use of lines projected onto the patient’s back, and computer vision to measure asymmetry in the projection.</w:t>
      </w:r>
      <w:r w:rsidR="006538EE">
        <w:t xml:space="preserve"> Unfortunately, this variety method does not provide enough information to justify a decision whether or not to use surgery. The results are also poorly correlated with the Cobb angle, exhibiting errors up to 9° versus X-ray [].</w:t>
      </w:r>
    </w:p>
    <w:p w14:paraId="48962CCE" w14:textId="4D78032C" w:rsidR="00A438DB" w:rsidRPr="00EA50DE" w:rsidRDefault="002D1B0C" w:rsidP="0048439B">
      <w:pPr>
        <w:pStyle w:val="BodyMain"/>
        <w:jc w:val="both"/>
      </w:pPr>
      <w:r>
        <w:t xml:space="preserve">Ultrasound, when combined with spatial tracking, can be used to locate skeletal landmarks along the spine []. </w:t>
      </w:r>
      <w:r w:rsidR="00F401CA">
        <w:t>The transverse processes</w:t>
      </w:r>
      <w:r>
        <w:t xml:space="preserve"> </w:t>
      </w:r>
      <w:r w:rsidR="00F401CA">
        <w:t xml:space="preserve">have been </w:t>
      </w:r>
    </w:p>
    <w:p w14:paraId="4A32E3E0" w14:textId="77777777" w:rsidR="00EA50DE" w:rsidRDefault="00EA50DE" w:rsidP="000850F1">
      <w:pPr>
        <w:pStyle w:val="Heading2"/>
        <w:jc w:val="both"/>
      </w:pPr>
      <w:r>
        <w:t>Objectives</w:t>
      </w:r>
    </w:p>
    <w:p w14:paraId="1D5CF519" w14:textId="619873FD" w:rsidR="00EA50DE" w:rsidRPr="00EA50DE" w:rsidRDefault="00E11231" w:rsidP="0048439B">
      <w:pPr>
        <w:pStyle w:val="BodyMain"/>
        <w:jc w:val="both"/>
      </w:pPr>
      <w:r>
        <w:t>The objective of this thesis is to present a method for 3D visualization of the complete spine using only</w:t>
      </w:r>
    </w:p>
    <w:p w14:paraId="12338911" w14:textId="77777777" w:rsidR="00EA50DE" w:rsidRDefault="00EA50DE" w:rsidP="000850F1">
      <w:pPr>
        <w:pStyle w:val="Heading2"/>
        <w:jc w:val="both"/>
      </w:pPr>
      <w:r>
        <w:t>Contribution</w:t>
      </w:r>
    </w:p>
    <w:p w14:paraId="08E11F97" w14:textId="29C5AE21" w:rsidR="00C90451" w:rsidRDefault="00167530" w:rsidP="000850F1">
      <w:pPr>
        <w:pStyle w:val="BodyMain"/>
        <w:jc w:val="both"/>
      </w:pPr>
      <w:r>
        <w:t xml:space="preserve">The contributions developed for this thesis consist of techniques for ensuring the accurate registration of a healthy-shaped spine model to patient-specific anatomy. We developed a method to supplement patient skeletal landmarks with anchor points to constrain the registration in the direction most lacking landmark </w:t>
      </w:r>
      <w:r>
        <w:lastRenderedPageBreak/>
        <w:t>distribution. We also propose a technique to convey differences in scale between the healthy-shaped model and patient anatomy in the distance between the anchor points and their corresponding skeletal landmarks.</w:t>
      </w:r>
      <w:bookmarkStart w:id="0" w:name="_GoBack"/>
      <w:bookmarkEnd w:id="0"/>
    </w:p>
    <w:p w14:paraId="3F85A259" w14:textId="77777777" w:rsidR="00C90451" w:rsidRPr="00C90451" w:rsidRDefault="00C90451" w:rsidP="000850F1">
      <w:pPr>
        <w:pStyle w:val="BodyMain"/>
        <w:jc w:val="both"/>
      </w:pPr>
    </w:p>
    <w:p w14:paraId="04B1F68B" w14:textId="77777777" w:rsidR="00F267D1" w:rsidRPr="00093712" w:rsidRDefault="00F267D1" w:rsidP="000850F1">
      <w:pPr>
        <w:jc w:val="both"/>
      </w:pPr>
    </w:p>
    <w:sectPr w:rsidR="00F267D1" w:rsidRPr="00093712"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89ECD46" w14:textId="77777777" w:rsidR="0051544B" w:rsidRDefault="0051544B">
      <w:r>
        <w:separator/>
      </w:r>
    </w:p>
  </w:endnote>
  <w:endnote w:type="continuationSeparator" w:id="0">
    <w:p w14:paraId="7B369EC2" w14:textId="77777777" w:rsidR="0051544B" w:rsidRDefault="005154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44496BBE" w14:textId="3DAB3687" w:rsidR="00695356" w:rsidRDefault="004F0D28">
        <w:pPr>
          <w:pStyle w:val="Footer"/>
          <w:jc w:val="center"/>
        </w:pPr>
        <w:r>
          <w:fldChar w:fldCharType="begin"/>
        </w:r>
        <w:r>
          <w:instrText xml:space="preserve"> PAGE   \* MERGEFORMAT </w:instrText>
        </w:r>
        <w:r>
          <w:fldChar w:fldCharType="separate"/>
        </w:r>
        <w:r w:rsidR="00167530">
          <w:rPr>
            <w:noProof/>
          </w:rPr>
          <w:t>2</w:t>
        </w:r>
        <w:r>
          <w:rPr>
            <w:noProof/>
          </w:rPr>
          <w:fldChar w:fldCharType="end"/>
        </w:r>
      </w:p>
    </w:sdtContent>
  </w:sdt>
  <w:p w14:paraId="4FB736F5" w14:textId="77777777"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C11FCF5"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450885B" w14:textId="77777777" w:rsidR="0051544B" w:rsidRDefault="0051544B">
      <w:r>
        <w:separator/>
      </w:r>
    </w:p>
  </w:footnote>
  <w:footnote w:type="continuationSeparator" w:id="0">
    <w:p w14:paraId="2B44A903" w14:textId="77777777" w:rsidR="0051544B" w:rsidRDefault="0051544B">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F3DCD61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99E4C2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4ACF66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3FC31C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C7A49A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A04638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0B8B06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B1E8EC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3E2AED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ACCDC6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BF8ECD2"/>
    <w:lvl w:ilvl="0">
      <w:start w:val="1"/>
      <w:numFmt w:val="decimal"/>
      <w:pStyle w:val="Heading1"/>
      <w:suff w:val="nothing"/>
      <w:lvlText w:val="Chapter %1"/>
      <w:lvlJc w:val="left"/>
      <w:pPr>
        <w:ind w:left="4320" w:firstLine="0"/>
      </w:pPr>
    </w:lvl>
    <w:lvl w:ilvl="1">
      <w:start w:val="1"/>
      <w:numFmt w:val="decimal"/>
      <w:pStyle w:val="Heading2"/>
      <w:isLgl/>
      <w:suff w:val="space"/>
      <w:lvlText w:val="%1.%2"/>
      <w:lvlJc w:val="left"/>
      <w:pPr>
        <w:ind w:left="350" w:firstLine="0"/>
      </w:pPr>
    </w:lvl>
    <w:lvl w:ilvl="2">
      <w:start w:val="1"/>
      <w:numFmt w:val="decimal"/>
      <w:pStyle w:val="Heading3"/>
      <w:isLgl/>
      <w:suff w:val="space"/>
      <w:lvlText w:val="%1.%2.%3"/>
      <w:lvlJc w:val="left"/>
      <w:pPr>
        <w:ind w:left="350" w:firstLine="0"/>
      </w:pPr>
    </w:lvl>
    <w:lvl w:ilvl="3">
      <w:start w:val="1"/>
      <w:numFmt w:val="decimal"/>
      <w:pStyle w:val="Heading4"/>
      <w:isLgl/>
      <w:suff w:val="space"/>
      <w:lvlText w:val="%1.%2.%3.%4"/>
      <w:lvlJc w:val="left"/>
      <w:pPr>
        <w:ind w:left="350" w:firstLine="0"/>
      </w:pPr>
    </w:lvl>
    <w:lvl w:ilvl="4">
      <w:start w:val="1"/>
      <w:numFmt w:val="decimal"/>
      <w:pStyle w:val="Heading5"/>
      <w:isLgl/>
      <w:suff w:val="space"/>
      <w:lvlText w:val="%1.%2.%3.%4.%5"/>
      <w:lvlJc w:val="left"/>
      <w:pPr>
        <w:ind w:left="350" w:firstLine="0"/>
      </w:pPr>
    </w:lvl>
    <w:lvl w:ilvl="5">
      <w:start w:val="1"/>
      <w:numFmt w:val="decimal"/>
      <w:pStyle w:val="Heading6"/>
      <w:isLgl/>
      <w:suff w:val="space"/>
      <w:lvlText w:val="%1.%2.%3.%4.%5.%6"/>
      <w:lvlJc w:val="left"/>
      <w:pPr>
        <w:ind w:left="350" w:firstLine="0"/>
      </w:pPr>
    </w:lvl>
    <w:lvl w:ilvl="6">
      <w:start w:val="1"/>
      <w:numFmt w:val="decimal"/>
      <w:pStyle w:val="Heading7"/>
      <w:lvlText w:val="%1.%2.%3.%4.%5.%6.%7"/>
      <w:lvlJc w:val="left"/>
      <w:pPr>
        <w:tabs>
          <w:tab w:val="num" w:pos="1646"/>
        </w:tabs>
        <w:ind w:left="1646" w:hanging="1296"/>
      </w:pPr>
    </w:lvl>
    <w:lvl w:ilvl="7">
      <w:start w:val="1"/>
      <w:numFmt w:val="decimal"/>
      <w:pStyle w:val="Heading8"/>
      <w:lvlText w:val="%1.%2.%3.%4.%5.%6.%7.%8"/>
      <w:lvlJc w:val="left"/>
      <w:pPr>
        <w:tabs>
          <w:tab w:val="num" w:pos="1790"/>
        </w:tabs>
        <w:ind w:left="1790" w:hanging="1440"/>
      </w:pPr>
    </w:lvl>
    <w:lvl w:ilvl="8">
      <w:start w:val="1"/>
      <w:numFmt w:val="decimal"/>
      <w:pStyle w:val="Heading9"/>
      <w:lvlText w:val="%1.%2.%3.%4.%5.%6.%7.%8.%9"/>
      <w:lvlJc w:val="left"/>
      <w:pPr>
        <w:tabs>
          <w:tab w:val="num" w:pos="1934"/>
        </w:tabs>
        <w:ind w:left="1934" w:hanging="1584"/>
      </w:p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0D4B"/>
    <w:rsid w:val="000468D2"/>
    <w:rsid w:val="00051DBE"/>
    <w:rsid w:val="000520F8"/>
    <w:rsid w:val="000564D0"/>
    <w:rsid w:val="00081F67"/>
    <w:rsid w:val="00083709"/>
    <w:rsid w:val="000850F1"/>
    <w:rsid w:val="00093712"/>
    <w:rsid w:val="00094F40"/>
    <w:rsid w:val="000A1DF3"/>
    <w:rsid w:val="000B2A86"/>
    <w:rsid w:val="00110224"/>
    <w:rsid w:val="00130E67"/>
    <w:rsid w:val="0014166A"/>
    <w:rsid w:val="0014427C"/>
    <w:rsid w:val="00165C97"/>
    <w:rsid w:val="00167530"/>
    <w:rsid w:val="0019037E"/>
    <w:rsid w:val="001A6E67"/>
    <w:rsid w:val="001B09F3"/>
    <w:rsid w:val="001B0C9F"/>
    <w:rsid w:val="001B58F7"/>
    <w:rsid w:val="0021375C"/>
    <w:rsid w:val="0021733C"/>
    <w:rsid w:val="00217F68"/>
    <w:rsid w:val="00221FD4"/>
    <w:rsid w:val="00245D8F"/>
    <w:rsid w:val="00250149"/>
    <w:rsid w:val="00252C6B"/>
    <w:rsid w:val="00253778"/>
    <w:rsid w:val="002541F4"/>
    <w:rsid w:val="00266D1D"/>
    <w:rsid w:val="00270752"/>
    <w:rsid w:val="002D1B0C"/>
    <w:rsid w:val="002E11F9"/>
    <w:rsid w:val="002F2ADB"/>
    <w:rsid w:val="00320A34"/>
    <w:rsid w:val="00321B2D"/>
    <w:rsid w:val="003511F1"/>
    <w:rsid w:val="00351C08"/>
    <w:rsid w:val="003528F4"/>
    <w:rsid w:val="0037753A"/>
    <w:rsid w:val="00387A73"/>
    <w:rsid w:val="00397F41"/>
    <w:rsid w:val="003A09A3"/>
    <w:rsid w:val="003A4049"/>
    <w:rsid w:val="003B017E"/>
    <w:rsid w:val="003D17BD"/>
    <w:rsid w:val="003D50C7"/>
    <w:rsid w:val="003D7B0A"/>
    <w:rsid w:val="003E11B2"/>
    <w:rsid w:val="003E7934"/>
    <w:rsid w:val="003E7F9B"/>
    <w:rsid w:val="003F07EC"/>
    <w:rsid w:val="003F23C4"/>
    <w:rsid w:val="003F7017"/>
    <w:rsid w:val="00406DF3"/>
    <w:rsid w:val="00424A32"/>
    <w:rsid w:val="00431661"/>
    <w:rsid w:val="00436989"/>
    <w:rsid w:val="00436F23"/>
    <w:rsid w:val="0045731D"/>
    <w:rsid w:val="00474FD4"/>
    <w:rsid w:val="0048439B"/>
    <w:rsid w:val="004C2CBF"/>
    <w:rsid w:val="004D5825"/>
    <w:rsid w:val="004E7D6E"/>
    <w:rsid w:val="004F0D28"/>
    <w:rsid w:val="005048CC"/>
    <w:rsid w:val="0051544B"/>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F27EC"/>
    <w:rsid w:val="00605928"/>
    <w:rsid w:val="00612F06"/>
    <w:rsid w:val="00630A4D"/>
    <w:rsid w:val="0063106B"/>
    <w:rsid w:val="006465FE"/>
    <w:rsid w:val="00650BF9"/>
    <w:rsid w:val="006538EE"/>
    <w:rsid w:val="0065439C"/>
    <w:rsid w:val="00655191"/>
    <w:rsid w:val="00656ED8"/>
    <w:rsid w:val="006753FF"/>
    <w:rsid w:val="006928A7"/>
    <w:rsid w:val="00695356"/>
    <w:rsid w:val="006A1E32"/>
    <w:rsid w:val="006B0102"/>
    <w:rsid w:val="006C263B"/>
    <w:rsid w:val="006E0B65"/>
    <w:rsid w:val="006F2A4F"/>
    <w:rsid w:val="006F2C42"/>
    <w:rsid w:val="006F590D"/>
    <w:rsid w:val="00713466"/>
    <w:rsid w:val="0073013D"/>
    <w:rsid w:val="007312FA"/>
    <w:rsid w:val="0073769A"/>
    <w:rsid w:val="007453C7"/>
    <w:rsid w:val="00753591"/>
    <w:rsid w:val="00764013"/>
    <w:rsid w:val="00765421"/>
    <w:rsid w:val="007709FF"/>
    <w:rsid w:val="0077454F"/>
    <w:rsid w:val="007A1F6E"/>
    <w:rsid w:val="007A2C55"/>
    <w:rsid w:val="007B24C4"/>
    <w:rsid w:val="007E114A"/>
    <w:rsid w:val="0081406F"/>
    <w:rsid w:val="00823C51"/>
    <w:rsid w:val="00831710"/>
    <w:rsid w:val="00831E8F"/>
    <w:rsid w:val="00831FE6"/>
    <w:rsid w:val="008451A3"/>
    <w:rsid w:val="0086107C"/>
    <w:rsid w:val="00870FA7"/>
    <w:rsid w:val="008732E2"/>
    <w:rsid w:val="00876F2B"/>
    <w:rsid w:val="008A1769"/>
    <w:rsid w:val="008A5BB4"/>
    <w:rsid w:val="008A755C"/>
    <w:rsid w:val="008B4FBF"/>
    <w:rsid w:val="008D0B28"/>
    <w:rsid w:val="008D1A44"/>
    <w:rsid w:val="008D4B66"/>
    <w:rsid w:val="008E5B2F"/>
    <w:rsid w:val="008E7682"/>
    <w:rsid w:val="00905898"/>
    <w:rsid w:val="009175D4"/>
    <w:rsid w:val="00942D18"/>
    <w:rsid w:val="009524B9"/>
    <w:rsid w:val="00966898"/>
    <w:rsid w:val="0097015E"/>
    <w:rsid w:val="00971847"/>
    <w:rsid w:val="00984F2D"/>
    <w:rsid w:val="00990AAA"/>
    <w:rsid w:val="00995137"/>
    <w:rsid w:val="00996DB9"/>
    <w:rsid w:val="009A5512"/>
    <w:rsid w:val="009A7A52"/>
    <w:rsid w:val="009E1050"/>
    <w:rsid w:val="009E1BFD"/>
    <w:rsid w:val="009F6F8D"/>
    <w:rsid w:val="009F760A"/>
    <w:rsid w:val="00A07067"/>
    <w:rsid w:val="00A15EEE"/>
    <w:rsid w:val="00A26632"/>
    <w:rsid w:val="00A277FE"/>
    <w:rsid w:val="00A363C9"/>
    <w:rsid w:val="00A438DB"/>
    <w:rsid w:val="00A5340C"/>
    <w:rsid w:val="00A65495"/>
    <w:rsid w:val="00A838F3"/>
    <w:rsid w:val="00AB0132"/>
    <w:rsid w:val="00AB13BA"/>
    <w:rsid w:val="00AC3D84"/>
    <w:rsid w:val="00AD3232"/>
    <w:rsid w:val="00AF7501"/>
    <w:rsid w:val="00B035AD"/>
    <w:rsid w:val="00B049A6"/>
    <w:rsid w:val="00B17458"/>
    <w:rsid w:val="00B254F8"/>
    <w:rsid w:val="00B25FC6"/>
    <w:rsid w:val="00B30A77"/>
    <w:rsid w:val="00B33834"/>
    <w:rsid w:val="00B478C8"/>
    <w:rsid w:val="00B60018"/>
    <w:rsid w:val="00B73D49"/>
    <w:rsid w:val="00B82933"/>
    <w:rsid w:val="00B82BF4"/>
    <w:rsid w:val="00BA42D1"/>
    <w:rsid w:val="00BA54D0"/>
    <w:rsid w:val="00BA62EE"/>
    <w:rsid w:val="00BB6FDD"/>
    <w:rsid w:val="00BB70FC"/>
    <w:rsid w:val="00BD0914"/>
    <w:rsid w:val="00BD55C0"/>
    <w:rsid w:val="00BD66CA"/>
    <w:rsid w:val="00BD709D"/>
    <w:rsid w:val="00BE1F3A"/>
    <w:rsid w:val="00BE69B8"/>
    <w:rsid w:val="00BE7205"/>
    <w:rsid w:val="00BF3741"/>
    <w:rsid w:val="00BF46CF"/>
    <w:rsid w:val="00C05B21"/>
    <w:rsid w:val="00C315F2"/>
    <w:rsid w:val="00C32C8C"/>
    <w:rsid w:val="00C82276"/>
    <w:rsid w:val="00C841EA"/>
    <w:rsid w:val="00C84D46"/>
    <w:rsid w:val="00C867EB"/>
    <w:rsid w:val="00C90451"/>
    <w:rsid w:val="00C97EB5"/>
    <w:rsid w:val="00CB0565"/>
    <w:rsid w:val="00CC3BF0"/>
    <w:rsid w:val="00CD322C"/>
    <w:rsid w:val="00CD38EB"/>
    <w:rsid w:val="00CD6F54"/>
    <w:rsid w:val="00CD788F"/>
    <w:rsid w:val="00D02131"/>
    <w:rsid w:val="00D1334E"/>
    <w:rsid w:val="00D17523"/>
    <w:rsid w:val="00D22EF9"/>
    <w:rsid w:val="00D24671"/>
    <w:rsid w:val="00D3747B"/>
    <w:rsid w:val="00D50FAF"/>
    <w:rsid w:val="00D51B3F"/>
    <w:rsid w:val="00D62F81"/>
    <w:rsid w:val="00DC03AF"/>
    <w:rsid w:val="00DC0705"/>
    <w:rsid w:val="00DC40E8"/>
    <w:rsid w:val="00E04344"/>
    <w:rsid w:val="00E11231"/>
    <w:rsid w:val="00E147F6"/>
    <w:rsid w:val="00E179E6"/>
    <w:rsid w:val="00E47323"/>
    <w:rsid w:val="00E65DFF"/>
    <w:rsid w:val="00E76039"/>
    <w:rsid w:val="00E83EC9"/>
    <w:rsid w:val="00EA1A2E"/>
    <w:rsid w:val="00EA2E0C"/>
    <w:rsid w:val="00EA50DE"/>
    <w:rsid w:val="00EA6631"/>
    <w:rsid w:val="00EB536E"/>
    <w:rsid w:val="00EC4887"/>
    <w:rsid w:val="00EC7479"/>
    <w:rsid w:val="00EE215E"/>
    <w:rsid w:val="00F02D47"/>
    <w:rsid w:val="00F23145"/>
    <w:rsid w:val="00F26741"/>
    <w:rsid w:val="00F267D1"/>
    <w:rsid w:val="00F354B8"/>
    <w:rsid w:val="00F401CA"/>
    <w:rsid w:val="00F42D60"/>
    <w:rsid w:val="00F457BE"/>
    <w:rsid w:val="00F50608"/>
    <w:rsid w:val="00F869E0"/>
    <w:rsid w:val="00F9292A"/>
    <w:rsid w:val="00F95A7A"/>
    <w:rsid w:val="00FA0960"/>
    <w:rsid w:val="00FA1056"/>
    <w:rsid w:val="00FB540E"/>
    <w:rsid w:val="00FB7D0A"/>
    <w:rsid w:val="00FC2CB4"/>
    <w:rsid w:val="00FC744E"/>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D8828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ind w:left="0"/>
      <w:outlineLvl w:val="1"/>
    </w:pPr>
    <w:rPr>
      <w:b/>
      <w:sz w:val="24"/>
    </w:rPr>
  </w:style>
  <w:style w:type="paragraph" w:styleId="Heading3">
    <w:name w:val="heading 3"/>
    <w:basedOn w:val="Normal"/>
    <w:next w:val="BodyText"/>
    <w:qFormat/>
    <w:rsid w:val="00C867EB"/>
    <w:pPr>
      <w:numPr>
        <w:ilvl w:val="2"/>
        <w:numId w:val="2"/>
      </w:numPr>
      <w:spacing w:before="240" w:after="60"/>
      <w:ind w:left="0"/>
      <w:outlineLvl w:val="2"/>
    </w:pPr>
    <w:rPr>
      <w:b/>
    </w:rPr>
  </w:style>
  <w:style w:type="paragraph" w:styleId="Heading4">
    <w:name w:val="heading 4"/>
    <w:basedOn w:val="Normal"/>
    <w:next w:val="BodyText"/>
    <w:qFormat/>
    <w:rsid w:val="00C867EB"/>
    <w:pPr>
      <w:numPr>
        <w:ilvl w:val="3"/>
        <w:numId w:val="2"/>
      </w:numPr>
      <w:spacing w:before="240" w:after="60"/>
      <w:ind w:left="0"/>
      <w:outlineLvl w:val="3"/>
    </w:pPr>
  </w:style>
  <w:style w:type="paragraph" w:styleId="Heading5">
    <w:name w:val="heading 5"/>
    <w:basedOn w:val="Normal"/>
    <w:next w:val="BodyText"/>
    <w:qFormat/>
    <w:rsid w:val="00C867EB"/>
    <w:pPr>
      <w:numPr>
        <w:ilvl w:val="4"/>
        <w:numId w:val="2"/>
      </w:numPr>
      <w:spacing w:before="240" w:after="60"/>
      <w:ind w:left="0"/>
      <w:outlineLvl w:val="4"/>
    </w:pPr>
  </w:style>
  <w:style w:type="paragraph" w:styleId="Heading6">
    <w:name w:val="heading 6"/>
    <w:basedOn w:val="Normal"/>
    <w:next w:val="BlockText"/>
    <w:qFormat/>
    <w:rsid w:val="00C867EB"/>
    <w:pPr>
      <w:numPr>
        <w:ilvl w:val="5"/>
        <w:numId w:val="2"/>
      </w:numPr>
      <w:spacing w:before="240" w:after="60"/>
      <w:ind w:left="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EA50DE"/>
    <w:rPr>
      <w:sz w:val="16"/>
      <w:szCs w:val="16"/>
    </w:rPr>
  </w:style>
  <w:style w:type="paragraph" w:styleId="CommentText">
    <w:name w:val="annotation text"/>
    <w:basedOn w:val="Normal"/>
    <w:link w:val="CommentTextChar"/>
    <w:semiHidden/>
    <w:unhideWhenUsed/>
    <w:rsid w:val="00EA50DE"/>
    <w:pPr>
      <w:spacing w:line="240" w:lineRule="auto"/>
    </w:pPr>
    <w:rPr>
      <w:sz w:val="20"/>
    </w:rPr>
  </w:style>
  <w:style w:type="character" w:customStyle="1" w:styleId="CommentTextChar">
    <w:name w:val="Comment Text Char"/>
    <w:basedOn w:val="DefaultParagraphFont"/>
    <w:link w:val="CommentText"/>
    <w:semiHidden/>
    <w:rsid w:val="00EA50DE"/>
    <w:rPr>
      <w:lang w:val="en-US" w:eastAsia="en-US"/>
    </w:rPr>
  </w:style>
  <w:style w:type="paragraph" w:styleId="CommentSubject">
    <w:name w:val="annotation subject"/>
    <w:basedOn w:val="CommentText"/>
    <w:next w:val="CommentText"/>
    <w:link w:val="CommentSubjectChar"/>
    <w:semiHidden/>
    <w:unhideWhenUsed/>
    <w:rsid w:val="00EA50DE"/>
    <w:rPr>
      <w:b/>
      <w:bCs/>
    </w:rPr>
  </w:style>
  <w:style w:type="character" w:customStyle="1" w:styleId="CommentSubjectChar">
    <w:name w:val="Comment Subject Char"/>
    <w:basedOn w:val="CommentTextChar"/>
    <w:link w:val="CommentSubject"/>
    <w:semiHidden/>
    <w:rsid w:val="00EA50DE"/>
    <w:rPr>
      <w:b/>
      <w:bCs/>
      <w:lang w:val="en-US" w:eastAsia="en-US"/>
    </w:rPr>
  </w:style>
  <w:style w:type="paragraph" w:styleId="BalloonText">
    <w:name w:val="Balloon Text"/>
    <w:basedOn w:val="Normal"/>
    <w:link w:val="BalloonTextChar"/>
    <w:semiHidden/>
    <w:unhideWhenUsed/>
    <w:rsid w:val="00EA50D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EA50DE"/>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6F975A8-2C75-4284-BE0A-0023EFC899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3050</TotalTime>
  <Pages>3</Pages>
  <Words>637</Words>
  <Characters>3632</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4261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31</cp:revision>
  <cp:lastPrinted>2007-07-30T18:32:00Z</cp:lastPrinted>
  <dcterms:created xsi:type="dcterms:W3CDTF">2018-01-18T17:31:00Z</dcterms:created>
  <dcterms:modified xsi:type="dcterms:W3CDTF">2018-01-22T16:32:00Z</dcterms:modified>
</cp:coreProperties>
</file>