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25459D9" w14:textId="77777777" w:rsidR="009A7A52" w:rsidRDefault="009A7A52" w:rsidP="009174FC">
      <w:pPr>
        <w:pStyle w:val="Heading1"/>
      </w:pPr>
    </w:p>
    <w:p w14:paraId="5907BFBC" w14:textId="77777777" w:rsidR="006E56B1" w:rsidRDefault="006E56B1" w:rsidP="006E56B1">
      <w:pPr>
        <w:pStyle w:val="ChapterTitle"/>
        <w:spacing w:before="0"/>
      </w:pPr>
      <w:r>
        <w:t>Landmark based registration</w:t>
      </w:r>
    </w:p>
    <w:p w14:paraId="19536A56" w14:textId="77777777" w:rsidR="006E56B1" w:rsidRDefault="006E56B1" w:rsidP="006E56B1">
      <w:pPr>
        <w:pStyle w:val="Heading2"/>
      </w:pPr>
      <w:r>
        <w:t>Method overview</w:t>
      </w:r>
    </w:p>
    <w:p w14:paraId="30233352" w14:textId="77777777" w:rsidR="00F267D1" w:rsidRDefault="00246605" w:rsidP="00950CF1">
      <w:pPr>
        <w:pStyle w:val="BodyMain"/>
        <w:jc w:val="both"/>
      </w:pPr>
      <w:r>
        <w:t xml:space="preserve">The method described in [] uses a series of spatially-tracked ultrasound snapshots depicting the patient’s transverse processes, and generates a 3D surface model of the spine for visualizing scoliotic deformity. Once the scan is complete, the snapshots are loaded into a virtual 3D environment and landmark points are placed on the transverse processes, which are manually identified by the operator. These anatomic landmarks are programmatically supplemented with anchor points which, together, </w:t>
      </w:r>
      <w:r w:rsidR="00B06988">
        <w:t>convey information about the 3D geometry of the spine. A corresponding point set on a healthy-shaped spine model is registered to the patient’s point set</w:t>
      </w:r>
      <w:r w:rsidR="0088570E">
        <w:t xml:space="preserve"> with a thin-plate spline transform. The thin-plate spline transform is then applied to the healthy-shaped model, warping to the patient’s anatomy, resulting in the final visualization.</w:t>
      </w:r>
    </w:p>
    <w:p w14:paraId="51748E9B" w14:textId="77777777" w:rsidR="00C96D4E" w:rsidRDefault="00C96D4E" w:rsidP="00C96D4E">
      <w:pPr>
        <w:pStyle w:val="Heading2"/>
      </w:pPr>
      <w:r>
        <w:t>Data</w:t>
      </w:r>
    </w:p>
    <w:p w14:paraId="7F8FA486" w14:textId="77777777" w:rsidR="00BD0C8B" w:rsidRPr="00BD0C8B" w:rsidRDefault="00BD0C8B" w:rsidP="00950CF1">
      <w:pPr>
        <w:pStyle w:val="BodyMain"/>
        <w:jc w:val="both"/>
      </w:pPr>
      <w:r>
        <w:t xml:space="preserve">The method is designed to work with ultrasound-accessible landmarks, the transverse processes. However, the characteristic of the transverse processes which makes them suitable for this method is their bilateral symmetry. </w:t>
      </w:r>
      <w:r w:rsidR="000D4A58">
        <w:t>Therefore,</w:t>
      </w:r>
      <w:r>
        <w:t xml:space="preserve"> this method can be used with any landmark set, collected from any imaging modality, as long as each vertebra has two bilaterally symmetric landmarks.</w:t>
      </w:r>
    </w:p>
    <w:p w14:paraId="44A7AF2D" w14:textId="77777777" w:rsidR="00C96D4E" w:rsidRDefault="00C96D4E" w:rsidP="00C96D4E">
      <w:pPr>
        <w:pStyle w:val="Heading3"/>
      </w:pPr>
      <w:r>
        <w:t>Imaging</w:t>
      </w:r>
    </w:p>
    <w:p w14:paraId="6FF82CFB" w14:textId="77777777" w:rsidR="00950CF1" w:rsidRPr="00950CF1" w:rsidRDefault="00CC1CD0" w:rsidP="00CC1CD0">
      <w:pPr>
        <w:pStyle w:val="BodyMain"/>
        <w:jc w:val="both"/>
      </w:pPr>
      <w:r>
        <w:t>Ultrasound by itself does not provide a 3D surface of the spine against which the accuracy of the final visualization can be validated.</w:t>
      </w:r>
      <w:r w:rsidR="0076491B">
        <w:t xml:space="preserve"> </w:t>
      </w:r>
      <w:r>
        <w:t>Therefore, r</w:t>
      </w:r>
      <w:r>
        <w:t>ather than use ultrasound to locate the transverse processes, the landmarks were located using CT.</w:t>
      </w:r>
      <w:r>
        <w:t xml:space="preserve"> </w:t>
      </w:r>
      <w:r w:rsidR="009D756B">
        <w:t xml:space="preserve">This provided landmark locations which were certain to be accurate, and therefore useful to test the accuracy of the visualization method rather than the accuracy of the landmark locations from ultrasound. </w:t>
      </w:r>
      <w:r>
        <w:t>The spines of [] patients were segmented from their CT scans</w:t>
      </w:r>
      <w:r w:rsidR="009D756B">
        <w:t>, and the transverse processes manually identified</w:t>
      </w:r>
      <w:r>
        <w:t xml:space="preserve">. </w:t>
      </w:r>
      <w:r w:rsidR="009D756B">
        <w:t>So that the CT ground truth contained the same anatomy as the healthy-</w:t>
      </w:r>
      <w:r w:rsidR="009D756B">
        <w:lastRenderedPageBreak/>
        <w:t>shaped spine model and could be used for validation, only the vertebrae were included in the segmentation; all ribs and inter-vertebral disks were removed.</w:t>
      </w:r>
    </w:p>
    <w:p w14:paraId="1EE29F02" w14:textId="77777777" w:rsidR="00C96D4E" w:rsidRDefault="00C96D4E" w:rsidP="00C96D4E">
      <w:pPr>
        <w:pStyle w:val="Heading3"/>
      </w:pPr>
      <w:r>
        <w:t>Landmarks</w:t>
      </w:r>
    </w:p>
    <w:p w14:paraId="76FAD316" w14:textId="77777777" w:rsidR="0093787B" w:rsidRDefault="0093787B" w:rsidP="0093787B">
      <w:pPr>
        <w:pStyle w:val="BodyText"/>
      </w:pPr>
    </w:p>
    <w:p w14:paraId="0F80D826" w14:textId="77777777" w:rsidR="0093787B" w:rsidRDefault="0093787B" w:rsidP="0093787B">
      <w:pPr>
        <w:pStyle w:val="Heading2"/>
      </w:pPr>
      <w:r>
        <w:t>Landmark supplementation</w:t>
      </w:r>
    </w:p>
    <w:p w14:paraId="5CF0E5AC" w14:textId="77777777" w:rsidR="0093787B" w:rsidRDefault="00244B0B" w:rsidP="00244B0B">
      <w:pPr>
        <w:pStyle w:val="BodyMain"/>
        <w:jc w:val="both"/>
      </w:pPr>
      <w:r>
        <w:t>The transverse processes alone do not contain sufficient 3D information for the thin-plate spline to capture anatomically realistic deformation.</w:t>
      </w:r>
      <w:r w:rsidR="00041587">
        <w:t xml:space="preserve"> Since they lie along the posterior surface of the spine, they do not convey scale in that direction. An example of a visualization produced by registering only the transverse processes is shown in [].</w:t>
      </w:r>
    </w:p>
    <w:p w14:paraId="20A7D659" w14:textId="77777777" w:rsidR="00041587" w:rsidRDefault="00B73A12" w:rsidP="00244B0B">
      <w:pPr>
        <w:pStyle w:val="BodyMain"/>
        <w:jc w:val="both"/>
      </w:pPr>
      <w:r>
        <w:rPr>
          <w:noProof/>
        </w:rPr>
        <w:drawing>
          <wp:inline distT="0" distB="0" distL="0" distR="0" wp14:anchorId="435E9614" wp14:editId="1EB05635">
            <wp:extent cx="5943600" cy="465645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NaiveRegistration027.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43600" cy="4656455"/>
                    </a:xfrm>
                    <a:prstGeom prst="rect">
                      <a:avLst/>
                    </a:prstGeom>
                  </pic:spPr>
                </pic:pic>
              </a:graphicData>
            </a:graphic>
          </wp:inline>
        </w:drawing>
      </w:r>
    </w:p>
    <w:p w14:paraId="61D6C628" w14:textId="77777777" w:rsidR="00041587" w:rsidRDefault="00041587" w:rsidP="00244B0B">
      <w:pPr>
        <w:pStyle w:val="BodyMain"/>
        <w:jc w:val="both"/>
      </w:pPr>
      <w:r>
        <w:lastRenderedPageBreak/>
        <w:t>To remedy the issue of anterior-posterior landmark distribution, we developed a technique for supplementing the patient’s natural landmarks with a set of anchor points. Each transverse process landmark is supplemented with one anchor point offset towards the vertebral body</w:t>
      </w:r>
      <w:r w:rsidR="00B73A12">
        <w:t>, normal to the curvature of the spine</w:t>
      </w:r>
      <w:r>
        <w:t>.</w:t>
      </w:r>
      <w:r w:rsidR="00B73A12">
        <w:t xml:space="preserve"> This direction was computed as the cross-product of a right-left vector between the landmarks of a given vertebrae, and an anterior-posterior vector between points above and below the landmark being supplemented.</w:t>
      </w:r>
    </w:p>
    <w:p w14:paraId="077CE4B8" w14:textId="29F72517" w:rsidR="00892EEC" w:rsidRDefault="00892EEC" w:rsidP="00244B0B">
      <w:pPr>
        <w:pStyle w:val="BodyMain"/>
        <w:jc w:val="both"/>
      </w:pPr>
      <w:r>
        <w:t xml:space="preserve">In addition to conveying anterior-posterior scale and </w:t>
      </w:r>
      <w:commentRangeStart w:id="0"/>
      <w:r>
        <w:t>vertebral rotation</w:t>
      </w:r>
      <w:commentRangeEnd w:id="0"/>
      <w:r>
        <w:rPr>
          <w:rStyle w:val="CommentReference"/>
        </w:rPr>
        <w:commentReference w:id="0"/>
      </w:r>
      <w:r w:rsidR="00C46EE0">
        <w:t>, an accurate registration required that the points conveyed the difference in scale between the healthy-shaped spine and the patient’s.</w:t>
      </w:r>
      <w:r w:rsidR="00ED1A02">
        <w:t xml:space="preserve"> This information was represented in the magnitude of the anchor points’ offsets from their corresponding landmarks.</w:t>
      </w:r>
    </w:p>
    <w:p w14:paraId="5D5F27CE" w14:textId="77777777" w:rsidR="0093787B" w:rsidRDefault="0093787B" w:rsidP="0093787B">
      <w:pPr>
        <w:pStyle w:val="Heading2"/>
      </w:pPr>
      <w:r>
        <w:t>Thin plate spline registration</w:t>
      </w:r>
    </w:p>
    <w:p w14:paraId="2686F62F" w14:textId="3AC14DD5" w:rsidR="0093787B" w:rsidRDefault="00843925" w:rsidP="00843925">
      <w:pPr>
        <w:pStyle w:val="BodyMain"/>
        <w:jc w:val="both"/>
      </w:pPr>
      <w:r>
        <w:t>Once the landmark sets for both the patient and the healthy-shaped model were complete with anchor points and natural transverse process locations, they were ready for registration. To compute the deformation which would warp the healthy-shaped model to the patient’s anatomy, VTK’s thin-plate spline transform was used.</w:t>
      </w:r>
    </w:p>
    <w:p w14:paraId="24D3B3A8" w14:textId="04070858" w:rsidR="00843925" w:rsidRDefault="00843925" w:rsidP="00843925">
      <w:pPr>
        <w:pStyle w:val="BodyMain"/>
        <w:jc w:val="both"/>
      </w:pPr>
      <w:r>
        <w:t>The thin-plate spline was a natural choice for registration to a deformed spine. Both are composed of repeating units; for each vertebra in the spine, the spline has a polynomial segment. The continuously smooth nature of a spline also enforces anatomically plaus</w:t>
      </w:r>
      <w:r w:rsidR="007C64CF">
        <w:t>ible deformation;</w:t>
      </w:r>
      <w:r>
        <w:t xml:space="preserve"> </w:t>
      </w:r>
      <w:r w:rsidR="007C64CF">
        <w:t>t</w:t>
      </w:r>
      <w:r>
        <w:t>here cannot be discontinuities in the orientations of subsequent vertebrae</w:t>
      </w:r>
      <w:r w:rsidR="007C64CF">
        <w:t>. Furthermore, as the orientation of one vertebra both affects and is affected by the orientations of nearby vertebrae, changing a single control point in the spline affects its shape everywhere but predominantly locally.</w:t>
      </w:r>
    </w:p>
    <w:p w14:paraId="229F3594" w14:textId="77777777" w:rsidR="0093787B" w:rsidRDefault="0093787B" w:rsidP="0093787B">
      <w:pPr>
        <w:pStyle w:val="Heading2"/>
      </w:pPr>
      <w:r>
        <w:t>Results</w:t>
      </w:r>
    </w:p>
    <w:p w14:paraId="6AE7380F" w14:textId="36281587" w:rsidR="00C96D4E" w:rsidRDefault="00F7073C" w:rsidP="005E15F6">
      <w:pPr>
        <w:pStyle w:val="BodyMain"/>
        <w:jc w:val="both"/>
      </w:pPr>
      <w:r>
        <w:t>Once the healthy-shaped model was warped to patient anatomy with the thin-plate spline, the resulting patient model could be compared to the CT ground-truth to assess accuracy and validate the visualization method.</w:t>
      </w:r>
      <w:r w:rsidR="00A670A9">
        <w:t xml:space="preserve"> Average and maximum Hausdorff distances were used to quantify the accuracy of the registration. </w:t>
      </w:r>
      <w:r w:rsidR="00A670A9">
        <w:lastRenderedPageBreak/>
        <w:t>Distance maps, where the color denotes the distance between the registration-based visualization model and the ground-truth CT segmentation, were used to provide a more qualitative depiction of the accuracy of the method.</w:t>
      </w:r>
      <w:r w:rsidR="006F5C86">
        <w:t xml:space="preserve"> Table [] shows the Hausdorff distances for the visualizations to ground-truth models. Figure [] shows distance maps and corresponding ground truths for several patients’ spines.</w:t>
      </w:r>
    </w:p>
    <w:p w14:paraId="3ACEA5FF" w14:textId="4A010818" w:rsidR="00BF3237" w:rsidRDefault="00BF3237" w:rsidP="00BF3237">
      <w:pPr>
        <w:pStyle w:val="Heading2"/>
      </w:pPr>
      <w:r>
        <w:t>Discussion</w:t>
      </w:r>
      <w:bookmarkStart w:id="1" w:name="_GoBack"/>
      <w:bookmarkEnd w:id="1"/>
    </w:p>
    <w:p w14:paraId="2CEEF856" w14:textId="77777777" w:rsidR="00BF3237" w:rsidRPr="00BF3237" w:rsidRDefault="00BF3237" w:rsidP="00BF3237">
      <w:pPr>
        <w:pStyle w:val="BodyMain"/>
        <w:jc w:val="both"/>
      </w:pPr>
    </w:p>
    <w:sectPr w:rsidR="00BF3237" w:rsidRPr="00BF3237" w:rsidSect="00474FD4">
      <w:footerReference w:type="default" r:id="rId12"/>
      <w:footerReference w:type="first" r:id="rId13"/>
      <w:pgSz w:w="12240" w:h="15840" w:code="1"/>
      <w:pgMar w:top="1440" w:right="1440" w:bottom="1440" w:left="1440" w:header="1080" w:footer="778" w:gutter="0"/>
      <w:cols w:space="720"/>
      <w:noEndnote/>
      <w:docGrid w:linePitch="299"/>
    </w:sectPr>
  </w:body>
</w:document>
</file>

<file path=word/comments.xml><?xml version="1.0" encoding="utf-8"?>
<w:comment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en Church" w:date="2018-01-22T10:40:00Z" w:initials="BC">
    <w:p w14:paraId="59524604" w14:textId="77777777" w:rsidR="00892EEC" w:rsidRDefault="00892EEC">
      <w:pPr>
        <w:pStyle w:val="CommentText"/>
      </w:pPr>
      <w:r>
        <w:rPr>
          <w:rStyle w:val="CommentReference"/>
        </w:rPr>
        <w:annotationRef/>
      </w:r>
      <w:r>
        <w:t>Mention in previous paragraph</w:t>
      </w:r>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9524604" w15:done="0"/>
</w15:commentsEx>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61BC78E" w14:textId="77777777" w:rsidR="001E45E5" w:rsidRDefault="001E45E5">
      <w:r>
        <w:separator/>
      </w:r>
    </w:p>
  </w:endnote>
  <w:endnote w:type="continuationSeparator" w:id="0">
    <w:p w14:paraId="7D152F6C" w14:textId="77777777" w:rsidR="001E45E5" w:rsidRDefault="001E45E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14:paraId="3B7057B1" w14:textId="21792A35" w:rsidR="00695356" w:rsidRDefault="004F0D28">
        <w:pPr>
          <w:pStyle w:val="Footer"/>
          <w:jc w:val="center"/>
        </w:pPr>
        <w:r>
          <w:fldChar w:fldCharType="begin"/>
        </w:r>
        <w:r>
          <w:instrText xml:space="preserve"> PAGE   \* MERGEFORMAT </w:instrText>
        </w:r>
        <w:r>
          <w:fldChar w:fldCharType="separate"/>
        </w:r>
        <w:r w:rsidR="00BF3237">
          <w:rPr>
            <w:noProof/>
          </w:rPr>
          <w:t>4</w:t>
        </w:r>
        <w:r>
          <w:rPr>
            <w:noProof/>
          </w:rPr>
          <w:fldChar w:fldCharType="end"/>
        </w:r>
      </w:p>
    </w:sdtContent>
  </w:sdt>
  <w:p w14:paraId="5FE0FBF6" w14:textId="77777777"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7C5DCF1" w14:textId="77777777"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53BE14E" w14:textId="77777777" w:rsidR="001E45E5" w:rsidRDefault="001E45E5">
      <w:r>
        <w:separator/>
      </w:r>
    </w:p>
  </w:footnote>
  <w:footnote w:type="continuationSeparator" w:id="0">
    <w:p w14:paraId="779A5B04" w14:textId="77777777" w:rsidR="001E45E5" w:rsidRDefault="001E45E5">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77240C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236942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B434D62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992A69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DE6C57E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AC8B7E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42CFA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10C464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9F7CC96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82A662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98C8A5F8"/>
    <w:lvl w:ilvl="0">
      <w:start w:val="3"/>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350" w:firstLine="0"/>
      </w:pPr>
      <w:rPr>
        <w:rFonts w:hint="default"/>
      </w:rPr>
    </w:lvl>
    <w:lvl w:ilvl="4">
      <w:start w:val="1"/>
      <w:numFmt w:val="decimal"/>
      <w:pStyle w:val="Heading5"/>
      <w:isLgl/>
      <w:suff w:val="space"/>
      <w:lvlText w:val="%1.%2.%3.%4.%5"/>
      <w:lvlJc w:val="left"/>
      <w:pPr>
        <w:ind w:left="350" w:firstLine="0"/>
      </w:pPr>
      <w:rPr>
        <w:rFonts w:hint="default"/>
      </w:rPr>
    </w:lvl>
    <w:lvl w:ilvl="5">
      <w:start w:val="1"/>
      <w:numFmt w:val="decimal"/>
      <w:pStyle w:val="Heading6"/>
      <w:isLgl/>
      <w:suff w:val="space"/>
      <w:lvlText w:val="%1.%2.%3.%4.%5.%6"/>
      <w:lvlJc w:val="left"/>
      <w:pPr>
        <w:ind w:left="350" w:firstLine="0"/>
      </w:pPr>
      <w:rPr>
        <w:rFonts w:hint="default"/>
      </w:rPr>
    </w:lvl>
    <w:lvl w:ilvl="6">
      <w:start w:val="1"/>
      <w:numFmt w:val="decimal"/>
      <w:pStyle w:val="Heading7"/>
      <w:lvlText w:val="%1.%2.%3.%4.%5.%6.%7"/>
      <w:lvlJc w:val="left"/>
      <w:pPr>
        <w:tabs>
          <w:tab w:val="num" w:pos="1646"/>
        </w:tabs>
        <w:ind w:left="1646" w:hanging="1296"/>
      </w:pPr>
      <w:rPr>
        <w:rFonts w:hint="default"/>
      </w:rPr>
    </w:lvl>
    <w:lvl w:ilvl="7">
      <w:start w:val="1"/>
      <w:numFmt w:val="decimal"/>
      <w:pStyle w:val="Heading8"/>
      <w:lvlText w:val="%1.%2.%3.%4.%5.%6.%7.%8"/>
      <w:lvlJc w:val="left"/>
      <w:pPr>
        <w:tabs>
          <w:tab w:val="num" w:pos="1790"/>
        </w:tabs>
        <w:ind w:left="1790" w:hanging="1440"/>
      </w:pPr>
      <w:rPr>
        <w:rFonts w:hint="default"/>
      </w:rPr>
    </w:lvl>
    <w:lvl w:ilvl="8">
      <w:start w:val="1"/>
      <w:numFmt w:val="decimal"/>
      <w:pStyle w:val="Heading9"/>
      <w:lvlText w:val="%1.%2.%3.%4.%5.%6.%7.%8.%9"/>
      <w:lvlJc w:val="left"/>
      <w:pPr>
        <w:tabs>
          <w:tab w:val="num" w:pos="1934"/>
        </w:tabs>
        <w:ind w:left="1934" w:hanging="1584"/>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en Church">
    <w15:presenceInfo w15:providerId="None" w15:userId="Ben Church"/>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21D64"/>
    <w:rsid w:val="00041587"/>
    <w:rsid w:val="000468D2"/>
    <w:rsid w:val="00051DBE"/>
    <w:rsid w:val="00081F67"/>
    <w:rsid w:val="00083709"/>
    <w:rsid w:val="00093712"/>
    <w:rsid w:val="00094F40"/>
    <w:rsid w:val="000B2A86"/>
    <w:rsid w:val="000D4A58"/>
    <w:rsid w:val="00110224"/>
    <w:rsid w:val="00130E67"/>
    <w:rsid w:val="0014166A"/>
    <w:rsid w:val="0014427C"/>
    <w:rsid w:val="00165C97"/>
    <w:rsid w:val="00175DF9"/>
    <w:rsid w:val="0019037E"/>
    <w:rsid w:val="001A6E67"/>
    <w:rsid w:val="001B09F3"/>
    <w:rsid w:val="001B0C9F"/>
    <w:rsid w:val="001E45E5"/>
    <w:rsid w:val="0021733C"/>
    <w:rsid w:val="00217F68"/>
    <w:rsid w:val="00221FD4"/>
    <w:rsid w:val="002239FB"/>
    <w:rsid w:val="00244B0B"/>
    <w:rsid w:val="00245D8F"/>
    <w:rsid w:val="00246605"/>
    <w:rsid w:val="00250149"/>
    <w:rsid w:val="00252C6B"/>
    <w:rsid w:val="00253778"/>
    <w:rsid w:val="002541F4"/>
    <w:rsid w:val="00266D1D"/>
    <w:rsid w:val="00270752"/>
    <w:rsid w:val="002E11F9"/>
    <w:rsid w:val="002F2ADB"/>
    <w:rsid w:val="00320A34"/>
    <w:rsid w:val="00321B2D"/>
    <w:rsid w:val="00351C08"/>
    <w:rsid w:val="003528F4"/>
    <w:rsid w:val="0037753A"/>
    <w:rsid w:val="00387A73"/>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61BE6"/>
    <w:rsid w:val="00474FD4"/>
    <w:rsid w:val="004C2CBF"/>
    <w:rsid w:val="004D5825"/>
    <w:rsid w:val="004E7D6E"/>
    <w:rsid w:val="004F0D28"/>
    <w:rsid w:val="005048CC"/>
    <w:rsid w:val="00523DB5"/>
    <w:rsid w:val="0052783E"/>
    <w:rsid w:val="00556B6E"/>
    <w:rsid w:val="005579D5"/>
    <w:rsid w:val="00586F17"/>
    <w:rsid w:val="005905F2"/>
    <w:rsid w:val="00593228"/>
    <w:rsid w:val="00594E44"/>
    <w:rsid w:val="005A3531"/>
    <w:rsid w:val="005B2979"/>
    <w:rsid w:val="005B3A8D"/>
    <w:rsid w:val="005C3407"/>
    <w:rsid w:val="005C5B8B"/>
    <w:rsid w:val="005C7D9A"/>
    <w:rsid w:val="005E15F6"/>
    <w:rsid w:val="005F27EC"/>
    <w:rsid w:val="00605928"/>
    <w:rsid w:val="00612F06"/>
    <w:rsid w:val="006465FE"/>
    <w:rsid w:val="00650BF9"/>
    <w:rsid w:val="0065439C"/>
    <w:rsid w:val="00655191"/>
    <w:rsid w:val="00656ED8"/>
    <w:rsid w:val="006928A7"/>
    <w:rsid w:val="00695356"/>
    <w:rsid w:val="006A1E32"/>
    <w:rsid w:val="006C263B"/>
    <w:rsid w:val="006E0B65"/>
    <w:rsid w:val="006E56B1"/>
    <w:rsid w:val="006F2A4F"/>
    <w:rsid w:val="006F2C42"/>
    <w:rsid w:val="006F590D"/>
    <w:rsid w:val="006F5C86"/>
    <w:rsid w:val="0073013D"/>
    <w:rsid w:val="007312FA"/>
    <w:rsid w:val="0073769A"/>
    <w:rsid w:val="007453C7"/>
    <w:rsid w:val="00753591"/>
    <w:rsid w:val="00764013"/>
    <w:rsid w:val="0076491B"/>
    <w:rsid w:val="00765421"/>
    <w:rsid w:val="007709FF"/>
    <w:rsid w:val="0077454F"/>
    <w:rsid w:val="007A1F6E"/>
    <w:rsid w:val="007A2C55"/>
    <w:rsid w:val="007B24C4"/>
    <w:rsid w:val="007C64CF"/>
    <w:rsid w:val="0081406F"/>
    <w:rsid w:val="00823C51"/>
    <w:rsid w:val="00831710"/>
    <w:rsid w:val="00831E8F"/>
    <w:rsid w:val="00843925"/>
    <w:rsid w:val="008451A3"/>
    <w:rsid w:val="0086107C"/>
    <w:rsid w:val="008732E2"/>
    <w:rsid w:val="00876F2B"/>
    <w:rsid w:val="0088570E"/>
    <w:rsid w:val="00892EEC"/>
    <w:rsid w:val="008A5BB4"/>
    <w:rsid w:val="008D0B28"/>
    <w:rsid w:val="008D1A44"/>
    <w:rsid w:val="008D4B66"/>
    <w:rsid w:val="008E5B2F"/>
    <w:rsid w:val="008E7682"/>
    <w:rsid w:val="00905898"/>
    <w:rsid w:val="009174FC"/>
    <w:rsid w:val="009175D4"/>
    <w:rsid w:val="0093787B"/>
    <w:rsid w:val="00942D18"/>
    <w:rsid w:val="00950CF1"/>
    <w:rsid w:val="009524B9"/>
    <w:rsid w:val="00966898"/>
    <w:rsid w:val="0097015E"/>
    <w:rsid w:val="00971847"/>
    <w:rsid w:val="00990AAA"/>
    <w:rsid w:val="00995137"/>
    <w:rsid w:val="00996DB9"/>
    <w:rsid w:val="009A5512"/>
    <w:rsid w:val="009A7A52"/>
    <w:rsid w:val="009D756B"/>
    <w:rsid w:val="009E1050"/>
    <w:rsid w:val="009E1BFD"/>
    <w:rsid w:val="009F6F8D"/>
    <w:rsid w:val="009F760A"/>
    <w:rsid w:val="00A07067"/>
    <w:rsid w:val="00A15EEE"/>
    <w:rsid w:val="00A26632"/>
    <w:rsid w:val="00A277FE"/>
    <w:rsid w:val="00A363C9"/>
    <w:rsid w:val="00A65495"/>
    <w:rsid w:val="00A670A9"/>
    <w:rsid w:val="00AB0132"/>
    <w:rsid w:val="00AB13BA"/>
    <w:rsid w:val="00AC3D84"/>
    <w:rsid w:val="00AD3232"/>
    <w:rsid w:val="00AF7501"/>
    <w:rsid w:val="00B049A6"/>
    <w:rsid w:val="00B06988"/>
    <w:rsid w:val="00B17458"/>
    <w:rsid w:val="00B254F8"/>
    <w:rsid w:val="00B25FC6"/>
    <w:rsid w:val="00B30A77"/>
    <w:rsid w:val="00B33834"/>
    <w:rsid w:val="00B478C8"/>
    <w:rsid w:val="00B60018"/>
    <w:rsid w:val="00B73A12"/>
    <w:rsid w:val="00B73D49"/>
    <w:rsid w:val="00B82933"/>
    <w:rsid w:val="00B82BF4"/>
    <w:rsid w:val="00BA42D1"/>
    <w:rsid w:val="00BA54D0"/>
    <w:rsid w:val="00BA62EE"/>
    <w:rsid w:val="00BB6FDD"/>
    <w:rsid w:val="00BB70FC"/>
    <w:rsid w:val="00BD0914"/>
    <w:rsid w:val="00BD0C8B"/>
    <w:rsid w:val="00BD55C0"/>
    <w:rsid w:val="00BD709D"/>
    <w:rsid w:val="00BE133C"/>
    <w:rsid w:val="00BE1F3A"/>
    <w:rsid w:val="00BE69B8"/>
    <w:rsid w:val="00BF3237"/>
    <w:rsid w:val="00BF3741"/>
    <w:rsid w:val="00BF46CF"/>
    <w:rsid w:val="00C315F2"/>
    <w:rsid w:val="00C32C8C"/>
    <w:rsid w:val="00C46EE0"/>
    <w:rsid w:val="00C82276"/>
    <w:rsid w:val="00C841EA"/>
    <w:rsid w:val="00C867EB"/>
    <w:rsid w:val="00C96D4E"/>
    <w:rsid w:val="00C97EB5"/>
    <w:rsid w:val="00CB0565"/>
    <w:rsid w:val="00CC1CD0"/>
    <w:rsid w:val="00CC3BF0"/>
    <w:rsid w:val="00CD322C"/>
    <w:rsid w:val="00CD38EB"/>
    <w:rsid w:val="00CD6F54"/>
    <w:rsid w:val="00CD788F"/>
    <w:rsid w:val="00D02131"/>
    <w:rsid w:val="00D1334E"/>
    <w:rsid w:val="00D22EF9"/>
    <w:rsid w:val="00D24671"/>
    <w:rsid w:val="00D3747B"/>
    <w:rsid w:val="00D50FAF"/>
    <w:rsid w:val="00D51B3F"/>
    <w:rsid w:val="00D62F81"/>
    <w:rsid w:val="00D92D3B"/>
    <w:rsid w:val="00DC03AF"/>
    <w:rsid w:val="00DC0705"/>
    <w:rsid w:val="00E04344"/>
    <w:rsid w:val="00E147F6"/>
    <w:rsid w:val="00E179E6"/>
    <w:rsid w:val="00E47323"/>
    <w:rsid w:val="00E65DFF"/>
    <w:rsid w:val="00E76039"/>
    <w:rsid w:val="00E83EC9"/>
    <w:rsid w:val="00EA1A2E"/>
    <w:rsid w:val="00EA2E0C"/>
    <w:rsid w:val="00EA6631"/>
    <w:rsid w:val="00ED1A02"/>
    <w:rsid w:val="00EE215E"/>
    <w:rsid w:val="00F02D47"/>
    <w:rsid w:val="00F23145"/>
    <w:rsid w:val="00F26741"/>
    <w:rsid w:val="00F267D1"/>
    <w:rsid w:val="00F354B8"/>
    <w:rsid w:val="00F42D60"/>
    <w:rsid w:val="00F457BE"/>
    <w:rsid w:val="00F50608"/>
    <w:rsid w:val="00F7073C"/>
    <w:rsid w:val="00F869E0"/>
    <w:rsid w:val="00F9292A"/>
    <w:rsid w:val="00F95A7A"/>
    <w:rsid w:val="00FA0960"/>
    <w:rsid w:val="00FA1056"/>
    <w:rsid w:val="00FB540E"/>
    <w:rsid w:val="00FB7D0A"/>
    <w:rsid w:val="00FC2CB4"/>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5F0F5D7"/>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 w:type="character" w:styleId="CommentReference">
    <w:name w:val="annotation reference"/>
    <w:basedOn w:val="DefaultParagraphFont"/>
    <w:semiHidden/>
    <w:unhideWhenUsed/>
    <w:rsid w:val="00246605"/>
    <w:rPr>
      <w:sz w:val="16"/>
      <w:szCs w:val="16"/>
    </w:rPr>
  </w:style>
  <w:style w:type="paragraph" w:styleId="CommentText">
    <w:name w:val="annotation text"/>
    <w:basedOn w:val="Normal"/>
    <w:link w:val="CommentTextChar"/>
    <w:semiHidden/>
    <w:unhideWhenUsed/>
    <w:rsid w:val="00246605"/>
    <w:pPr>
      <w:spacing w:line="240" w:lineRule="auto"/>
    </w:pPr>
    <w:rPr>
      <w:sz w:val="20"/>
    </w:rPr>
  </w:style>
  <w:style w:type="character" w:customStyle="1" w:styleId="CommentTextChar">
    <w:name w:val="Comment Text Char"/>
    <w:basedOn w:val="DefaultParagraphFont"/>
    <w:link w:val="CommentText"/>
    <w:semiHidden/>
    <w:rsid w:val="00246605"/>
    <w:rPr>
      <w:lang w:val="en-US" w:eastAsia="en-US"/>
    </w:rPr>
  </w:style>
  <w:style w:type="paragraph" w:styleId="CommentSubject">
    <w:name w:val="annotation subject"/>
    <w:basedOn w:val="CommentText"/>
    <w:next w:val="CommentText"/>
    <w:link w:val="CommentSubjectChar"/>
    <w:semiHidden/>
    <w:unhideWhenUsed/>
    <w:rsid w:val="00246605"/>
    <w:rPr>
      <w:b/>
      <w:bCs/>
    </w:rPr>
  </w:style>
  <w:style w:type="character" w:customStyle="1" w:styleId="CommentSubjectChar">
    <w:name w:val="Comment Subject Char"/>
    <w:basedOn w:val="CommentTextChar"/>
    <w:link w:val="CommentSubject"/>
    <w:semiHidden/>
    <w:rsid w:val="00246605"/>
    <w:rPr>
      <w:b/>
      <w:bCs/>
      <w:lang w:val="en-US" w:eastAsia="en-US"/>
    </w:rPr>
  </w:style>
  <w:style w:type="paragraph" w:styleId="BalloonText">
    <w:name w:val="Balloon Text"/>
    <w:basedOn w:val="Normal"/>
    <w:link w:val="BalloonTextChar"/>
    <w:semiHidden/>
    <w:unhideWhenUsed/>
    <w:rsid w:val="0024660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246605"/>
    <w:rPr>
      <w:rFonts w:ascii="Segoe UI" w:hAnsi="Segoe UI" w:cs="Segoe UI"/>
      <w:sz w:val="18"/>
      <w:szCs w:val="1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5" Type="http://schemas.openxmlformats.org/officeDocument/2006/relationships/settings" Target="settings.xml"/><Relationship Id="rId15" Type="http://schemas.microsoft.com/office/2011/relationships/people" Target="people.xml"/><Relationship Id="rId10" Type="http://schemas.openxmlformats.org/officeDocument/2006/relationships/comments" Target="comments.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70661ED-B4F4-4FC4-AC83-BFFED67B58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1272</TotalTime>
  <Pages>4</Pages>
  <Words>740</Words>
  <Characters>4224</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4955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22</cp:revision>
  <cp:lastPrinted>2007-07-30T18:32:00Z</cp:lastPrinted>
  <dcterms:created xsi:type="dcterms:W3CDTF">2018-01-18T18:52:00Z</dcterms:created>
  <dcterms:modified xsi:type="dcterms:W3CDTF">2018-01-22T16:48:00Z</dcterms:modified>
</cp:coreProperties>
</file>