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Partenariat de revente Tiquiz</w:t>
      </w:r>
    </w:p>
    <w:p>
      <w:pPr>
        <w:spacing w:after="120" w:line="276"/>
      </w:pPr>
      <w:r>
        <w:rPr>
          <w:i/>
          <w:iCs/>
          <w:color w:val="555555"/>
        </w:rPr>
        <w:t xml:space="preserve">Proposition de collaboration — distribution interne</w:t>
      </w:r>
    </w:p>
    <w:p>
      <w:pPr>
        <w:spacing w:after="120" w:line="276"/>
      </w:pPr>
      <w:r>
        <w:rPr>
          <w:color w:val="555555"/>
        </w:rPr>
        <w:t xml:space="preserve">Préparé par Béné — Tiquiz · </w:t>
      </w:r>
      <w:r>
        <w:rPr>
          <w:color w:val="555555"/>
        </w:rPr>
        <w:t xml:space="preserve">blagardette.com</w:t>
      </w:r>
    </w:p>
    <w:p>
      <w:pPr>
        <w:pStyle w:val="Heading1"/>
      </w:pPr>
      <w:r>
        <w:t xml:space="preserve">1. Le principe</w:t>
      </w:r>
    </w:p>
    <w:p>
      <w:pPr>
        <w:spacing w:after="120" w:line="276"/>
      </w:pPr>
      <w:r>
        <w:t xml:space="preserve">L’idée : tu deviens distributeur de Tiquiz pour ton programme. Tu gardes la main complète sur ta relation client, ta facturation et tes prix. Tiquiz reste ton fournisseur de technologie en arrière-plan.</w:t>
      </w:r>
    </w:p>
    <w:p>
      <w:pPr>
        <w:spacing w:after="120" w:line="276"/>
      </w:pPr>
      <w:r>
        <w:t xml:space="preserve">Tu n’es donc pas affilié : tu ne touches pas une commission sur mon programme, tu exploites Tiquiz en autonomie et tu reverses une part dégressive selon ton volume. Plus tu grandis, moins cette part est élevée.</w:t>
      </w:r>
    </w:p>
    <w:p>
      <w:pPr>
        <w:pStyle w:val="Heading1"/>
      </w:pPr>
      <w:r>
        <w:t xml:space="preserve">2. Qui fait quoi</w:t>
      </w:r>
    </w:p>
    <w:p>
      <w:pPr>
        <w:pStyle w:val="Heading2"/>
      </w:pPr>
      <w:r>
        <w:t xml:space="preserve">Toi (distributeur)</w:t>
      </w:r>
    </w:p>
    <w:p>
      <w:pPr>
        <w:pStyle w:val="ListParagraph"/>
        <w:numPr>
          <w:ilvl w:val="0"/>
          <w:numId w:val="2"/>
        </w:numPr>
        <w:spacing w:after="60" w:line="276"/>
      </w:pPr>
      <w:r>
        <w:t xml:space="preserve">Tu vends et factures tes propres clients, à ton prix (ici, le prix Tiquiz).</w:t>
      </w:r>
    </w:p>
    <w:p>
      <w:pPr>
        <w:pStyle w:val="ListParagraph"/>
        <w:numPr>
          <w:ilvl w:val="0"/>
          <w:numId w:val="2"/>
        </w:numPr>
        <w:spacing w:after="60" w:line="276"/>
      </w:pPr>
      <w:r>
        <w:t xml:space="preserve">Tu gères ton interface admin : tu crées, actives et suspends les accès de tes clients en autonomie.</w:t>
      </w:r>
    </w:p>
    <w:p>
      <w:pPr>
        <w:pStyle w:val="ListParagraph"/>
        <w:numPr>
          <w:ilvl w:val="0"/>
          <w:numId w:val="2"/>
        </w:numPr>
        <w:spacing w:after="60" w:line="276"/>
      </w:pPr>
      <w:r>
        <w:t xml:space="preserve">Tu assures le support de premier niveau auprès de tes clients (prise en main, questions d’usage).</w:t>
      </w:r>
    </w:p>
    <w:p>
      <w:pPr>
        <w:pStyle w:val="Heading2"/>
      </w:pPr>
      <w:r>
        <w:t xml:space="preserve">Tiquiz (moi)</w:t>
      </w:r>
    </w:p>
    <w:p>
      <w:pPr>
        <w:pStyle w:val="ListParagraph"/>
        <w:numPr>
          <w:ilvl w:val="0"/>
          <w:numId w:val="2"/>
        </w:numPr>
        <w:spacing w:after="60" w:line="276"/>
      </w:pPr>
      <w:r>
        <w:t xml:space="preserve">Je fournis et héberge la plateforme : chaque client a un compte Tiquiz complet.</w:t>
      </w:r>
    </w:p>
    <w:p>
      <w:pPr>
        <w:pStyle w:val="ListParagraph"/>
        <w:numPr>
          <w:ilvl w:val="0"/>
          <w:numId w:val="2"/>
        </w:numPr>
        <w:spacing w:after="60" w:line="276"/>
      </w:pPr>
      <w:r>
        <w:t xml:space="preserve">Chaque client connecte son propre compte Systeme.io, exactement comme un utilisateur Tiquiz classique.</w:t>
      </w:r>
    </w:p>
    <w:p>
      <w:pPr>
        <w:pStyle w:val="ListParagraph"/>
        <w:numPr>
          <w:ilvl w:val="0"/>
          <w:numId w:val="2"/>
        </w:numPr>
        <w:spacing w:after="60" w:line="276"/>
      </w:pPr>
      <w:r>
        <w:t xml:space="preserve">J’assure la maintenance, les évolutions produit et le support de second niveau (bugs, incidents plateforme).</w:t>
      </w:r>
    </w:p>
    <w:p>
      <w:pPr>
        <w:pStyle w:val="Heading1"/>
      </w:pPr>
      <w:r>
        <w:t xml:space="preserve">3. Tarification</w:t>
      </w:r>
    </w:p>
    <w:p>
      <w:pPr>
        <w:spacing w:after="120" w:line="276"/>
      </w:pPr>
      <w:r>
        <w:t xml:space="preserve">Tu factures tes clients au prix Tiquiz (9 €/mois ou 90 €/an pour l’accès standard ; 19 €/mois ou 190 €/an pour l’accès complet). Tu me reverses une part qui baisse automatiquement à mesure que ton volume augmente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Volume de comptes actifs</w:t>
            </w:r>
          </w:p>
        </w:tc>
        <w:tc>
          <w:tcPr>
            <w:tcW w:type="dxa" w:w="3009"/>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Part reversée à Tiquiz</w:t>
            </w:r>
          </w:p>
        </w:tc>
        <w:tc>
          <w:tcPr>
            <w:tcW w:type="dxa" w:w="3008"/>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Part que tu conserves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à 200</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40 %</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60 %</w:t>
            </w:r>
          </w:p>
        </w:tc>
      </w:tr>
      <w:tr>
        <w:tc>
          <w:tcPr>
            <w:tcW w:type="dxa" w:w="300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201 à 1 000</w:t>
            </w:r>
          </w:p>
        </w:tc>
        <w:tc>
          <w:tcPr>
            <w:tcW w:type="dxa" w:w="300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35 %</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65 %</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1 001 et plus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30 %</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70 %</w:t>
            </w:r>
          </w:p>
        </w:tc>
      </w:tr>
    </w:tbl>
    <w:p>
      <w:pPr>
        <w:spacing w:after="120" w:line="276"/>
      </w:pPr>
      <w:r>
        <w:rPr>
          <w:b/>
          <w:bCs/>
        </w:rPr>
        <w:t xml:space="preserve">Palier automatique et transparent : </w:t>
      </w:r>
      <w:r>
        <w:t xml:space="preserve">le taux est déterminé par ton nombre total de comptes actifs et s’applique à l’ensemble de tes comptes. Dès que tu franchis un seuil, le nouveau taux s’applique tout seul — tu le vois directement dans ton interface admin, sans aucune démarche ni engagement de volume.</w:t>
      </w:r>
    </w:p>
    <w:p>
      <w:pPr>
        <w:pStyle w:val="Heading1"/>
      </w:pPr>
      <w:r>
        <w:t xml:space="preserve">4. Exemples concrets (par compte et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42"/>
        <w:gridCol w:w="1442"/>
        <w:gridCol w:w="1442"/>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Plan (prix client)</w:t>
            </w:r>
          </w:p>
        </w:tc>
        <w:tc>
          <w:tcPr>
            <w:tcW w:type="dxa" w:w="1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Palier</w:t>
            </w:r>
          </w:p>
        </w:tc>
        <w:tc>
          <w:tcPr>
            <w:tcW w:type="dxa" w:w="144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Tu factures</w:t>
            </w:r>
          </w:p>
        </w:tc>
        <w:tc>
          <w:tcPr>
            <w:tcW w:type="dxa" w:w="144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Tu reverses</w:t>
            </w:r>
          </w:p>
        </w:tc>
        <w:tc>
          <w:tcPr>
            <w:tcW w:type="dxa" w:w="144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rPr>
              <w:t xml:space="preserve">Tu gardes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Light — 9 €/mois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40 %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9,00 €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3,60 €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5,40 €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Light — 9 €/mois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35 %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9,00 €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3,15 €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5,85 €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Light — 9 €/mois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9,00 €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2,70 €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6,30 €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Complet — 19 €/mois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40 %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19,00 €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7,60 €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11,40 €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Complet — 19 €/mois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35 %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19,00 €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6,65 €</w:t>
            </w:r>
          </w:p>
        </w:tc>
        <w:tc>
          <w:tcPr>
            <w:tcW w:type="dxa" w:w="14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rPr>
              <w:t xml:space="preserve">12,35 €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val="false"/>
                <w:bCs w:val="false"/>
                <w:color w:val="000000"/>
              </w:rPr>
              <w:t xml:space="preserve">Complet — 19 €/mois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30 %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19,00 €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5,70 €</w:t>
            </w:r>
          </w:p>
        </w:tc>
        <w:tc>
          <w:tcPr>
            <w:tcW w:type="dxa" w:w="14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false"/>
                <w:bCs w:val="false"/>
                <w:color w:val="000000"/>
              </w:rPr>
              <w:t xml:space="preserve">13,30 €</w:t>
            </w:r>
          </w:p>
        </w:tc>
      </w:tr>
    </w:tbl>
    <w:p>
      <w:pPr>
        <w:spacing w:after="120" w:line="276"/>
      </w:pPr>
      <w:r>
        <w:rPr>
          <w:i/>
          <w:iCs/>
          <w:color w:val="555555"/>
        </w:rPr>
        <w:t xml:space="preserve">Les forfaits annuels suivent les mêmes pourcentages (ex. plan complet 190 €/an au palier 30 % : 57 € reversés, 133 € conservés).</w:t>
      </w:r>
    </w:p>
    <w:p>
      <w:pPr>
        <w:pStyle w:val="Heading1"/>
      </w:pPr>
      <w:r>
        <w:t xml:space="preserve">5. Facturation</w:t>
      </w:r>
    </w:p>
    <w:p>
      <w:pPr>
        <w:pStyle w:val="ListParagraph"/>
        <w:numPr>
          <w:ilvl w:val="0"/>
          <w:numId w:val="2"/>
        </w:numPr>
        <w:spacing w:after="60" w:line="276"/>
      </w:pPr>
      <w:r>
        <w:rPr>
          <w:b/>
          <w:bCs/>
        </w:rPr>
        <w:t xml:space="preserve">Mensuelle et automatique. </w:t>
      </w:r>
      <w:r>
        <w:t xml:space="preserve">Le montant est calculé sur le nombre de comptes actifs de ton espace à la date de facturation — rien à déclarer de ton côté.</w:t>
      </w:r>
    </w:p>
    <w:p>
      <w:pPr>
        <w:pStyle w:val="ListParagraph"/>
        <w:numPr>
          <w:ilvl w:val="0"/>
          <w:numId w:val="2"/>
        </w:numPr>
        <w:spacing w:after="60" w:line="276"/>
      </w:pPr>
      <w:r>
        <w:rPr>
          <w:b/>
          <w:bCs/>
        </w:rPr>
        <w:t xml:space="preserve">Compte actif = </w:t>
      </w:r>
      <w:r>
        <w:t xml:space="preserve">un accès que tu as ouvert et qui n’est pas suspendu. Si tu suspends un client, il n’est plus facturé le mois suivant.</w:t>
      </w:r>
    </w:p>
    <w:p>
      <w:pPr>
        <w:pStyle w:val="ListParagraph"/>
        <w:numPr>
          <w:ilvl w:val="0"/>
          <w:numId w:val="2"/>
        </w:numPr>
        <w:spacing w:after="60" w:line="276"/>
      </w:pPr>
      <w:r>
        <w:rPr>
          <w:b/>
          <w:bCs/>
        </w:rPr>
        <w:t xml:space="preserve">Le pourcentage est appliqué au prix réel de chaque compte </w:t>
      </w:r>
      <w:r>
        <w:t xml:space="preserve">(plan standard ou complet, mensuel ou annuel) — pas à une moyenne. C’est exact et vérifiable.</w:t>
      </w:r>
    </w:p>
    <w:p>
      <w:pPr>
        <w:pStyle w:val="ListParagraph"/>
        <w:numPr>
          <w:ilvl w:val="0"/>
          <w:numId w:val="2"/>
        </w:numPr>
        <w:spacing w:after="60" w:line="276"/>
      </w:pPr>
      <w:r>
        <w:t xml:space="preserve">Paiement à réception de facture. En cas d’impayé prolongé, les accès concernés peuvent être suspendus le temps de régulariser, afin de protéger le service pour tout le monde.</w:t>
      </w:r>
    </w:p>
    <w:p>
      <w:pPr>
        <w:pStyle w:val="Heading1"/>
      </w:pPr>
      <w:r>
        <w:t xml:space="preserve">6. Usage de l’IA</w:t>
      </w:r>
    </w:p>
    <w:p>
      <w:pPr>
        <w:spacing w:after="120" w:line="276"/>
      </w:pPr>
      <w:r>
        <w:t xml:space="preserve">Toutes les fonctions IA de Tiquiz (génération de quiz, analyse des résultats, etc.) sont incluses dans les plans, dans la limite d’un usage raisonnable. Un plafond mensuel généreux par compte est appliqué : il est calibré pour être invisible en usage normal et n’entrer en jeu qu’en cas d’usage manifestement excessif. On le fixera ensemble et il pourra être ajusté à la hausse au besoin.</w:t>
      </w:r>
    </w:p>
    <w:p>
      <w:pPr>
        <w:pStyle w:val="Heading1"/>
      </w:pPr>
      <w:r>
        <w:t xml:space="preserve">7. Support</w:t>
      </w:r>
    </w:p>
    <w:p>
      <w:pPr>
        <w:spacing w:after="120" w:line="276"/>
      </w:pPr>
      <w:r>
        <w:t xml:space="preserve">Tes clients s’adressent à toi (niveau 1). Pour tout ce qui relève d’un bug ou d’un incident plateforme, tu remontes vers moi (niveau 2). Cette répartition garde l’expérience fluide pour tes clients tout en restant tenable à plusieurs milliers d’utilisateurs.</w:t>
      </w:r>
    </w:p>
    <w:p>
      <w:pPr>
        <w:pStyle w:val="Heading1"/>
      </w:pPr>
      <w:r>
        <w:t xml:space="preserve">8. Données et réversibilité</w:t>
      </w:r>
    </w:p>
    <w:p>
      <w:pPr>
        <w:spacing w:after="120" w:line="276"/>
      </w:pPr>
      <w:r>
        <w:t xml:space="preserve">Les comptes de tes clients et leurs données sont hébergés sur l’infrastructure Tiquiz. En cas d’arrêt du partenariat, on définit ensemble, par écrit, les modalités de transfert ou de fermeture des comptes, dans le respect des clients finaux. L’objectif est que personne ne soit pris en otage.</w:t>
      </w:r>
    </w:p>
    <w:p>
      <w:pPr>
        <w:pStyle w:val="Heading1"/>
      </w:pPr>
      <w:r>
        <w:t xml:space="preserve">9. Cadre</w:t>
      </w:r>
    </w:p>
    <w:p>
      <w:pPr>
        <w:pStyle w:val="ListParagraph"/>
        <w:numPr>
          <w:ilvl w:val="0"/>
          <w:numId w:val="2"/>
        </w:numPr>
        <w:spacing w:after="60" w:line="276"/>
      </w:pPr>
      <w:r>
        <w:t xml:space="preserve">Offre interne à ton programme, non publique.</w:t>
      </w:r>
    </w:p>
    <w:p>
      <w:pPr>
        <w:pStyle w:val="ListParagraph"/>
        <w:numPr>
          <w:ilvl w:val="0"/>
          <w:numId w:val="2"/>
        </w:numPr>
        <w:spacing w:after="60" w:line="276"/>
      </w:pPr>
      <w:r>
        <w:t xml:space="preserve">Autonomie complète de gestion via ton interface admin.</w:t>
      </w:r>
    </w:p>
    <w:p>
      <w:pPr>
        <w:pStyle w:val="ListParagraph"/>
        <w:numPr>
          <w:ilvl w:val="0"/>
          <w:numId w:val="2"/>
        </w:numPr>
        <w:spacing w:after="60" w:line="276"/>
      </w:pPr>
      <w:r>
        <w:t xml:space="preserve">Sans exclusivité, sauf accord spécifique négocié séparément.</w:t>
      </w:r>
    </w:p>
    <w:p>
      <w:pPr>
        <w:pStyle w:val="ListParagraph"/>
        <w:numPr>
          <w:ilvl w:val="0"/>
          <w:numId w:val="2"/>
        </w:numPr>
        <w:spacing w:after="60" w:line="276"/>
      </w:pPr>
      <w:r>
        <w:t xml:space="preserve">Ces conditions seront formalisées dans un contrat de partenariat avant le lancement.</w:t>
      </w:r>
    </w:p>
    <w:p>
      <w:pPr>
        <w:spacing w:after="120" w:before="200"/>
      </w:pPr>
      <w:r>
        <w:rPr>
          <w:b/>
          <w:bCs/>
        </w:rPr>
        <w:t xml:space="preserve">Prochaine étape : </w:t>
      </w:r>
      <w:r>
        <w:t xml:space="preserve">on valide ensemble les seuils, le plafond d’usage IA et le calendrier de mise en place de ton interface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A5F"/>
      <w:sz w:val="44"/>
      <w:szCs w:val="44"/>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2026-06-11T08:25:07.805Z</dcterms:created>
  <dcterms:modified xsi:type="dcterms:W3CDTF">2026-06-11T08:25:07.805Z</dcterms:modified>
</cp:coreProperties>
</file>

<file path=docProps/custom.xml><?xml version="1.0" encoding="utf-8"?>
<Properties xmlns="http://schemas.openxmlformats.org/officeDocument/2006/custom-properties" xmlns:vt="http://schemas.openxmlformats.org/officeDocument/2006/docPropsVTypes"/>
</file>