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Contrat de partenariat de revente</w:t>
      </w:r>
    </w:p>
    <w:p>
      <w:pPr>
        <w:spacing w:after="200"/>
        <w:jc w:val="center"/>
      </w:pPr>
      <w:r>
        <w:rPr>
          <w:i/>
          <w:iCs/>
          <w:color w:val="555555"/>
          <w:sz w:val="24"/>
          <w:szCs w:val="24"/>
        </w:rPr>
        <w:t xml:space="preserve">Logiciel Tiquiz</w:t>
      </w:r>
    </w:p>
    <w:p>
      <w:pPr>
        <w:spacing w:after="120" w:line="276"/>
        <w:jc w:val="both"/>
      </w:pPr>
      <w:r>
        <w:rPr>
          <w:i/>
          <w:iCs/>
          <w:color w:val="8A6D3B"/>
        </w:rPr>
        <w:t xml:space="preserve">Modèle à faire relire par un conseil juridique avant signature. Il doit être complété par un accord de sous-traitance des données personnelles (DPA) conforme au RGPD (article 28).</w:t>
      </w:r>
    </w:p>
    <w:p>
      <w:pPr>
        <w:pStyle w:val="Heading1"/>
      </w:pPr>
      <w:r>
        <w:t xml:space="preserve">Entre les soussignés</w:t>
      </w:r>
    </w:p>
    <w:p>
      <w:pPr>
        <w:spacing w:after="120" w:line="276"/>
        <w:jc w:val="both"/>
      </w:pPr>
      <w:r>
        <w:rPr>
          <w:b/>
          <w:bCs/>
        </w:rPr>
        <w:t xml:space="preserve">L’Éditeur : </w:t>
      </w:r>
      <w:r>
        <w:t xml:space="preserve">[● Nom / dénomination sociale], [statut juridique], au capital de [●], dont le siège est situé [●], immatriculé(e) sous le numéro SIRET [●], représenté(e) par [●] en qualité de [●], éditeur et exploitant du logiciel « Tiquiz » accessible à l’adresse [●],</w:t>
      </w:r>
    </w:p>
    <w:p>
      <w:pPr>
        <w:spacing w:after="120" w:line="276"/>
        <w:jc w:val="both"/>
      </w:pPr>
      <w:r>
        <w:rPr>
          <w:i/>
          <w:iCs/>
        </w:rPr>
        <w:t xml:space="preserve">ci-après « l’Éditeur » ou « Tiquiz »,</w:t>
      </w:r>
    </w:p>
    <w:p>
      <w:pPr>
        <w:spacing w:after="120" w:line="276"/>
        <w:jc w:val="both"/>
      </w:pPr>
      <w:r>
        <w:t xml:space="preserve">d’une part,</w:t>
      </w:r>
    </w:p>
    <w:p>
      <w:pPr>
        <w:spacing w:after="120" w:line="276"/>
        <w:jc w:val="both"/>
      </w:pPr>
      <w:r>
        <w:rPr>
          <w:b/>
          <w:bCs/>
        </w:rPr>
        <w:t xml:space="preserve">Le Revendeur : </w:t>
      </w:r>
      <w:r>
        <w:t xml:space="preserve">[● Nom / dénomination sociale], [statut juridique], dont le siège est situé [●], immatriculé(e) sous le numéro SIRET [●], représenté(e) par [●] en qualité de [●],</w:t>
      </w:r>
    </w:p>
    <w:p>
      <w:pPr>
        <w:spacing w:after="120" w:line="276"/>
        <w:jc w:val="both"/>
      </w:pPr>
      <w:r>
        <w:rPr>
          <w:i/>
          <w:iCs/>
        </w:rPr>
        <w:t xml:space="preserve">ci-après « le Revendeur »,</w:t>
      </w:r>
    </w:p>
    <w:p>
      <w:pPr>
        <w:spacing w:after="120" w:line="276"/>
        <w:jc w:val="both"/>
      </w:pPr>
      <w:r>
        <w:t xml:space="preserve">d’autre part,</w:t>
      </w:r>
    </w:p>
    <w:p>
      <w:pPr>
        <w:spacing w:after="120" w:line="276"/>
        <w:jc w:val="both"/>
      </w:pPr>
      <w:r>
        <w:rPr>
          <w:i/>
          <w:iCs/>
        </w:rPr>
        <w:t xml:space="preserve">ci-après désignés ensemble « les Parties » et individuellement « une Partie ».</w:t>
      </w:r>
    </w:p>
    <w:p>
      <w:pPr>
        <w:pStyle w:val="Heading1"/>
      </w:pPr>
      <w:r>
        <w:t xml:space="preserve">Préambule</w:t>
      </w:r>
    </w:p>
    <w:p>
      <w:pPr>
        <w:spacing w:after="120" w:line="276"/>
        <w:jc w:val="both"/>
      </w:pPr>
      <w:r>
        <w:t xml:space="preserve">L’Éditeur édite et exploite Tiquiz, un logiciel de création de quiz connecté à Systeme.io, proposé sous forme d’abonnement. Le Revendeur souhaite commercialiser des accès à Tiquiz auprès de sa propre clientèle, dans le cadre interne de son programme, en toute autonomie de gestion et de facturation.</w:t>
      </w:r>
    </w:p>
    <w:p>
      <w:pPr>
        <w:spacing w:after="120" w:line="276"/>
        <w:jc w:val="both"/>
      </w:pPr>
      <w:r>
        <w:t xml:space="preserve">Le Revendeur n’agit pas en qualité d’affilié ni de mandataire de l’Éditeur : il exploite Tiquiz en son nom propre auprès de ses Clients Finaux et reverse à l’Éditeur une part de ses ventes selon les conditions ci-après. Les Parties sont convenues de ce qui suit.</w:t>
      </w:r>
    </w:p>
    <w:p>
      <w:pPr>
        <w:pStyle w:val="Heading1"/>
      </w:pPr>
      <w:r>
        <w:t xml:space="preserve">Article 1 — Définitions</w:t>
      </w:r>
    </w:p>
    <w:p>
      <w:pPr>
        <w:pStyle w:val="ListParagraph"/>
        <w:numPr>
          <w:ilvl w:val="0"/>
          <w:numId w:val="2"/>
        </w:numPr>
        <w:spacing w:after="60" w:line="276"/>
        <w:jc w:val="both"/>
      </w:pPr>
      <w:r>
        <w:rPr>
          <w:b/>
          <w:bCs/>
        </w:rPr>
        <w:t xml:space="preserve">Plateforme / Logiciel : </w:t>
      </w:r>
      <w:r>
        <w:t xml:space="preserve">le logiciel Tiquiz, son infrastructure d’hébergement et ses fonctionnalités, y compris les fonctions d’intelligence artificielle.</w:t>
      </w:r>
    </w:p>
    <w:p>
      <w:pPr>
        <w:pStyle w:val="ListParagraph"/>
        <w:numPr>
          <w:ilvl w:val="0"/>
          <w:numId w:val="2"/>
        </w:numPr>
        <w:spacing w:after="60" w:line="276"/>
        <w:jc w:val="both"/>
      </w:pPr>
      <w:r>
        <w:rPr>
          <w:b/>
          <w:bCs/>
        </w:rPr>
        <w:t xml:space="preserve">Interface Admin : </w:t>
      </w:r>
      <w:r>
        <w:t xml:space="preserve">l’espace d’administration mis à disposition du Revendeur pour créer, gérer, activer, suspendre et suivre l’activité de ses Clients Finaux, et pour consulter et régler les reversements dus à l’Éditeur.</w:t>
      </w:r>
    </w:p>
    <w:p>
      <w:pPr>
        <w:pStyle w:val="ListParagraph"/>
        <w:numPr>
          <w:ilvl w:val="0"/>
          <w:numId w:val="2"/>
        </w:numPr>
        <w:spacing w:after="60" w:line="276"/>
        <w:jc w:val="both"/>
      </w:pPr>
      <w:r>
        <w:rPr>
          <w:b/>
          <w:bCs/>
        </w:rPr>
        <w:t xml:space="preserve">Client Final : </w:t>
      </w:r>
      <w:r>
        <w:t xml:space="preserve">toute personne ou entité à laquelle le Revendeur ouvre un accès à Tiquiz.</w:t>
      </w:r>
    </w:p>
    <w:p>
      <w:pPr>
        <w:pStyle w:val="ListParagraph"/>
        <w:numPr>
          <w:ilvl w:val="0"/>
          <w:numId w:val="2"/>
        </w:numPr>
        <w:spacing w:after="60" w:line="276"/>
        <w:jc w:val="both"/>
      </w:pPr>
      <w:r>
        <w:rPr>
          <w:b/>
          <w:bCs/>
        </w:rPr>
        <w:t xml:space="preserve">Client Gratuit : </w:t>
      </w:r>
      <w:r>
        <w:t xml:space="preserve">un Client Final disposant d’un accès non payant. Aucun reversement n’est dû à l’Éditeur au titre des Clients Gratuits.</w:t>
      </w:r>
    </w:p>
    <w:p>
      <w:pPr>
        <w:pStyle w:val="ListParagraph"/>
        <w:numPr>
          <w:ilvl w:val="0"/>
          <w:numId w:val="2"/>
        </w:numPr>
        <w:spacing w:after="60" w:line="276"/>
        <w:jc w:val="both"/>
      </w:pPr>
      <w:r>
        <w:rPr>
          <w:b/>
          <w:bCs/>
        </w:rPr>
        <w:t xml:space="preserve">Client Payant Actif : </w:t>
      </w:r>
      <w:r>
        <w:t xml:space="preserve">un Client Final titulaire d’un abonnement payant en cours de validité au titre duquel le Revendeur a effectivement encaissé le paiement correspondant.</w:t>
      </w:r>
    </w:p>
    <w:p>
      <w:pPr>
        <w:pStyle w:val="ListParagraph"/>
        <w:numPr>
          <w:ilvl w:val="0"/>
          <w:numId w:val="2"/>
        </w:numPr>
        <w:spacing w:after="60" w:line="276"/>
        <w:jc w:val="both"/>
      </w:pPr>
      <w:r>
        <w:rPr>
          <w:b/>
          <w:bCs/>
        </w:rPr>
        <w:t xml:space="preserve">Vente Nette Encaissée : </w:t>
      </w:r>
      <w:r>
        <w:t xml:space="preserve">les sommes effectivement encaissées par le Revendeur auprès de ses Clients Payants Actifs au titre des abonnements Tiquiz sur le Mois de Référence, déduction faite des remboursements, annulations, résiliations, impayés, rétrofacturations (« chargebacks ») et avoirs. En sont exclus les Clients Gratuits et toute somme non encaissée.</w:t>
      </w:r>
    </w:p>
    <w:p>
      <w:pPr>
        <w:pStyle w:val="ListParagraph"/>
        <w:numPr>
          <w:ilvl w:val="0"/>
          <w:numId w:val="2"/>
        </w:numPr>
        <w:spacing w:after="60" w:line="276"/>
        <w:jc w:val="both"/>
      </w:pPr>
      <w:r>
        <w:rPr>
          <w:b/>
          <w:bCs/>
        </w:rPr>
        <w:t xml:space="preserve">Reversement : </w:t>
      </w:r>
      <w:r>
        <w:t xml:space="preserve">la part des Ventes Nettes Encaissées due par le Revendeur à l’Éditeur, calculée selon la grille de l’article 6.</w:t>
      </w:r>
    </w:p>
    <w:p>
      <w:pPr>
        <w:pStyle w:val="ListParagraph"/>
        <w:numPr>
          <w:ilvl w:val="0"/>
          <w:numId w:val="2"/>
        </w:numPr>
        <w:spacing w:after="60" w:line="276"/>
        <w:jc w:val="both"/>
      </w:pPr>
      <w:r>
        <w:rPr>
          <w:b/>
          <w:bCs/>
        </w:rPr>
        <w:t xml:space="preserve">Mois de Référence : </w:t>
      </w:r>
      <w:r>
        <w:t xml:space="preserve">le mois civil au titre duquel le Reversement est calculé (le mois précédant le paiement).</w:t>
      </w:r>
    </w:p>
    <w:p>
      <w:pPr>
        <w:pStyle w:val="ListParagraph"/>
        <w:numPr>
          <w:ilvl w:val="0"/>
          <w:numId w:val="2"/>
        </w:numPr>
        <w:spacing w:after="60" w:line="276"/>
        <w:jc w:val="both"/>
      </w:pPr>
      <w:r>
        <w:rPr>
          <w:b/>
          <w:bCs/>
        </w:rPr>
        <w:t xml:space="preserve">Seuil de Consommation IA : </w:t>
      </w:r>
      <w:r>
        <w:t xml:space="preserve">le plafond mensuel de coût de consommation d’intelligence artificielle par Client Final défini à l’article 8.</w:t>
      </w:r>
    </w:p>
    <w:p>
      <w:pPr>
        <w:pStyle w:val="Heading1"/>
      </w:pPr>
      <w:r>
        <w:t xml:space="preserve">Article 2 — Objet</w:t>
      </w:r>
    </w:p>
    <w:p>
      <w:pPr>
        <w:spacing w:after="120" w:line="276"/>
        <w:jc w:val="both"/>
      </w:pPr>
      <w:r>
        <w:t xml:space="preserve">Le présent contrat a pour objet de définir les conditions dans lesquelles le Revendeur commercialise des accès au Logiciel Tiquiz auprès de ses Clients Finaux, ainsi que les conditions financières et opérationnelles de la collaboration entre les Parties.</w:t>
      </w:r>
    </w:p>
    <w:p>
      <w:pPr>
        <w:pStyle w:val="Heading1"/>
      </w:pPr>
      <w:r>
        <w:t xml:space="preserve">Article 3 — Nature de la relation</w:t>
      </w:r>
    </w:p>
    <w:p>
      <w:pPr>
        <w:spacing w:after="120" w:line="276"/>
        <w:jc w:val="both"/>
      </w:pPr>
      <w:r>
        <w:t xml:space="preserve">Le Revendeur agit en qualité de revendeur indépendant. Il contracte en son nom propre avec ses Clients Finaux, fixe et perçoit ses propres prix, et conserve la maîtrise de sa relation commerciale.</w:t>
      </w:r>
    </w:p>
    <w:p>
      <w:pPr>
        <w:spacing w:after="120" w:line="276"/>
        <w:jc w:val="both"/>
      </w:pPr>
      <w:r>
        <w:t xml:space="preserve">Le présent contrat ne crée entre les Parties aucune société, aucun mandat, aucune représentation, ni aucun lien de subordination. Chaque Partie demeure responsable de ses obligations légales, sociales et fiscales propres. Le Revendeur ne peut engager l’Éditeur ni utiliser sa raison sociale au-delà de ce qui est nécessaire à la commercialisation autorisée.</w:t>
      </w:r>
    </w:p>
    <w:p>
      <w:pPr>
        <w:pStyle w:val="Heading1"/>
      </w:pPr>
      <w:r>
        <w:t xml:space="preserve">Article 4 — Obligations de l’Éditeur</w:t>
      </w:r>
    </w:p>
    <w:p>
      <w:pPr>
        <w:pStyle w:val="ListParagraph"/>
        <w:numPr>
          <w:ilvl w:val="0"/>
          <w:numId w:val="2"/>
        </w:numPr>
        <w:spacing w:after="60" w:line="276"/>
        <w:jc w:val="both"/>
      </w:pPr>
      <w:r>
        <w:t xml:space="preserve">Fournir et héberger le Logiciel Tiquiz et mettre à disposition de chaque Client Final un compte fonctionnel, chaque Client Final connectant son propre compte Systeme.io comme un utilisateur Tiquiz classique.</w:t>
      </w:r>
    </w:p>
    <w:p>
      <w:pPr>
        <w:pStyle w:val="ListParagraph"/>
        <w:numPr>
          <w:ilvl w:val="0"/>
          <w:numId w:val="2"/>
        </w:numPr>
        <w:spacing w:after="60" w:line="276"/>
        <w:jc w:val="both"/>
      </w:pPr>
      <w:r>
        <w:t xml:space="preserve">Assurer la maintenance corrective et évolutive, ainsi que la disponibilité du service dans des conditions raisonnables.</w:t>
      </w:r>
    </w:p>
    <w:p>
      <w:pPr>
        <w:pStyle w:val="ListParagraph"/>
        <w:numPr>
          <w:ilvl w:val="0"/>
          <w:numId w:val="2"/>
        </w:numPr>
        <w:spacing w:after="60" w:line="276"/>
        <w:jc w:val="both"/>
      </w:pPr>
      <w:r>
        <w:t xml:space="preserve">Mettre à disposition du Revendeur l’Interface Admin permettant la gestion de ses Clients Finaux et le suivi des Reversements.</w:t>
      </w:r>
    </w:p>
    <w:p>
      <w:pPr>
        <w:pStyle w:val="ListParagraph"/>
        <w:numPr>
          <w:ilvl w:val="0"/>
          <w:numId w:val="2"/>
        </w:numPr>
        <w:spacing w:after="60" w:line="276"/>
        <w:jc w:val="both"/>
      </w:pPr>
      <w:r>
        <w:t xml:space="preserve">Assurer le support de second niveau (anomalies et incidents relevant de la Plateforme).</w:t>
      </w:r>
    </w:p>
    <w:p>
      <w:pPr>
        <w:pStyle w:val="Heading1"/>
      </w:pPr>
      <w:r>
        <w:t xml:space="preserve">Article 5 — Obligations du Revendeur</w:t>
      </w:r>
    </w:p>
    <w:p>
      <w:pPr>
        <w:pStyle w:val="ListParagraph"/>
        <w:numPr>
          <w:ilvl w:val="0"/>
          <w:numId w:val="2"/>
        </w:numPr>
        <w:spacing w:after="60" w:line="276"/>
        <w:jc w:val="both"/>
      </w:pPr>
      <w:r>
        <w:t xml:space="preserve">Commercialiser les accès Tiquiz auprès de ses Clients Finaux, émettre ses propres factures et encaisser ses propres paiements.</w:t>
      </w:r>
    </w:p>
    <w:p>
      <w:pPr>
        <w:pStyle w:val="ListParagraph"/>
        <w:numPr>
          <w:ilvl w:val="0"/>
          <w:numId w:val="2"/>
        </w:numPr>
        <w:spacing w:after="60" w:line="276"/>
        <w:jc w:val="both"/>
      </w:pPr>
      <w:r>
        <w:t xml:space="preserve">Assurer le support de premier niveau auprès de ses Clients Finaux (prise en main, questions d’usage) et remonter à l’Éditeur les incidents de niveau 2.</w:t>
      </w:r>
    </w:p>
    <w:p>
      <w:pPr>
        <w:pStyle w:val="ListParagraph"/>
        <w:numPr>
          <w:ilvl w:val="0"/>
          <w:numId w:val="2"/>
        </w:numPr>
        <w:spacing w:after="60" w:line="276"/>
        <w:jc w:val="both"/>
      </w:pPr>
      <w:r>
        <w:t xml:space="preserve">Régler à l’Éditeur les Reversements dus selon l’article 6 et l’article 7.</w:t>
      </w:r>
    </w:p>
    <w:p>
      <w:pPr>
        <w:pStyle w:val="ListParagraph"/>
        <w:numPr>
          <w:ilvl w:val="0"/>
          <w:numId w:val="2"/>
        </w:numPr>
        <w:spacing w:after="60" w:line="276"/>
        <w:jc w:val="both"/>
      </w:pPr>
      <w:r>
        <w:t xml:space="preserve">Respecter l’image et la marque Tiquiz, ne pas dénaturer le Logiciel et se conformer à la réglementation applicable, notamment en matière de protection des données.</w:t>
      </w:r>
    </w:p>
    <w:p>
      <w:pPr>
        <w:pStyle w:val="Heading1"/>
      </w:pPr>
      <w:r>
        <w:t xml:space="preserve">Article 6 — Conditions financières</w:t>
      </w:r>
    </w:p>
    <w:p>
      <w:pPr>
        <w:pStyle w:val="Heading2"/>
      </w:pPr>
      <w:r>
        <w:t xml:space="preserve">6.1 Principe : reversement uniquement sur les ventes encaissées</w:t>
      </w:r>
    </w:p>
    <w:p>
      <w:pPr>
        <w:spacing w:after="120" w:line="276"/>
        <w:jc w:val="both"/>
      </w:pPr>
      <w:r>
        <w:t xml:space="preserve">L’Éditeur ne perçoit de Reversement que sur les Ventes Nettes Encaissées par le Revendeur. Aucun Reversement n’est dû au titre des Clients Gratuits, ni au titre des abonnements annulés, résiliés, remboursés, impayés ou ayant fait l’objet d’une rétrofacturation. Autrement dit, l’Éditeur n’est rémunéré que lorsque le Revendeur perçoit lui-même un paiement.</w:t>
      </w:r>
    </w:p>
    <w:p>
      <w:pPr>
        <w:pStyle w:val="Heading2"/>
      </w:pPr>
      <w:r>
        <w:t xml:space="preserve">6.2 Grille de reversement dégressive</w:t>
      </w:r>
    </w:p>
    <w:p>
      <w:pPr>
        <w:spacing w:after="120" w:line="276"/>
        <w:jc w:val="both"/>
      </w:pPr>
      <w:r>
        <w:t xml:space="preserve">Le taux de Reversement est dégressif selon le nombre de Clients Payants Actifs du Revendeur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rPr>
          <w:tblHeader/>
        </w:trPr>
        <w:tc>
          <w:tcPr>
            <w:tcW w:type="dxa" w:w="5413"/>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Nombre de Clients Payants Actifs</w:t>
            </w:r>
          </w:p>
        </w:tc>
        <w:tc>
          <w:tcPr>
            <w:tcW w:type="dxa" w:w="3613"/>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Taux reversé à l’Éditeur</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 à 200</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40 %</w:t>
            </w:r>
          </w:p>
        </w:tc>
      </w:tr>
      <w:tr>
        <w:tc>
          <w:tcPr>
            <w:tcW w:type="dxa" w:w="5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201 à 1 000</w:t>
            </w:r>
          </w:p>
        </w:tc>
        <w:tc>
          <w:tcPr>
            <w:tcW w:type="dxa" w:w="36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35 %</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1 001 à 2 000</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30 %</w:t>
            </w:r>
          </w:p>
        </w:tc>
      </w:tr>
      <w:tr>
        <w:tc>
          <w:tcPr>
            <w:tcW w:type="dxa" w:w="5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2 001 à 3 000</w:t>
            </w:r>
          </w:p>
        </w:tc>
        <w:tc>
          <w:tcPr>
            <w:tcW w:type="dxa" w:w="36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25 %</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3 001 et plus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20 %</w:t>
            </w:r>
          </w:p>
        </w:tc>
      </w:tr>
    </w:tbl>
    <w:p>
      <w:pPr>
        <w:pStyle w:val="Heading2"/>
      </w:pPr>
      <w:r>
        <w:t xml:space="preserve">6.3 Détermination du palier</w:t>
      </w:r>
    </w:p>
    <w:p>
      <w:pPr>
        <w:spacing w:after="120" w:line="276"/>
        <w:jc w:val="both"/>
      </w:pPr>
      <w:r>
        <w:t xml:space="preserve">Le palier applicable est déterminé par le nombre total de Clients Payants Actifs au dernier jour du Mois de Référence. Le taux correspondant s’applique à l’intégralité des Ventes Nettes Encaissées du Mois de Référence (et non par tranche). Le franchissement d’un seuil s’applique automatiquement et est visible par le Revendeur dans son Interface Admin, sans démarche ni engagement de volume.</w:t>
      </w:r>
    </w:p>
    <w:p>
      <w:pPr>
        <w:pStyle w:val="Heading2"/>
      </w:pPr>
      <w:r>
        <w:t xml:space="preserve">6.4 Exemple</w:t>
      </w:r>
    </w:p>
    <w:p>
      <w:pPr>
        <w:spacing w:after="120" w:line="276"/>
        <w:jc w:val="both"/>
      </w:pPr>
      <w:r>
        <w:rPr>
          <w:i/>
          <w:iCs/>
          <w:color w:val="555555"/>
        </w:rPr>
        <w:t xml:space="preserve">À titre indicatif : avec 250 Clients Payants Actifs au plan complet (19 €) ayant tous payé sur le mois, la Vente Nette Encaissée est de 4 750 € ; le palier « 201 à 1 000 » s’applique (35 %), soit un Reversement de 1 662,50 € à l’Éditeur, le Revendeur conservant 3 087,50 €.</w:t>
      </w:r>
    </w:p>
    <w:p>
      <w:pPr>
        <w:pStyle w:val="Heading1"/>
      </w:pPr>
      <w:r>
        <w:t xml:space="preserve">Article 7 — Facturation et modalités de paiement</w:t>
      </w:r>
    </w:p>
    <w:p>
      <w:pPr>
        <w:spacing w:after="120" w:line="276"/>
        <w:jc w:val="both"/>
      </w:pPr>
      <w:r>
        <w:t xml:space="preserve">Le montant du Reversement est calculé automatiquement par l’Interface Admin sur la base des Ventes Nettes Encaissées du Mois de Référence. Un relevé mensuel est mis à la disposition du Revendeur.</w:t>
      </w:r>
    </w:p>
    <w:p>
      <w:pPr>
        <w:spacing w:after="120" w:line="276"/>
        <w:jc w:val="both"/>
      </w:pPr>
      <w:r>
        <w:t xml:space="preserve">Le Reversement est exigible et réglé par le Revendeur le 1er jour de chaque mois, au titre des ventes du mois précédent, via le moyen de paiement intégré à l’Interface Admin.</w:t>
      </w:r>
    </w:p>
    <w:p>
      <w:pPr>
        <w:spacing w:after="120" w:line="276"/>
        <w:jc w:val="both"/>
      </w:pPr>
      <w:r>
        <w:t xml:space="preserve">En cas de retard ou de défaut de paiement, et après relance restée sans effet pendant [● 7] jours, l’Éditeur pourra suspendre tout ou partie des accès concernés jusqu’à régularisation, sans préjudice des intérêts de retard légalement applicables entre professionnels.</w:t>
      </w:r>
    </w:p>
    <w:p>
      <w:pPr>
        <w:pStyle w:val="Heading1"/>
      </w:pPr>
      <w:r>
        <w:t xml:space="preserve">Article 8 — Surveillance de la consommation IA et mise à niveau</w:t>
      </w:r>
    </w:p>
    <w:p>
      <w:pPr>
        <w:spacing w:after="120" w:line="276"/>
        <w:jc w:val="both"/>
      </w:pPr>
      <w:r>
        <w:t xml:space="preserve">Les fonctions d’intelligence artificielle sont incluses dans les plans, dans la limite d’un usage raisonnable. Les coûts d’intelligence artificielle étant des frais récurrents assumés par l’Éditeur, un dispositif de surveillance des seuils est mis en place afin de prévenir tout abus.</w:t>
      </w:r>
    </w:p>
    <w:p>
      <w:pPr>
        <w:spacing w:after="120" w:line="276"/>
        <w:jc w:val="both"/>
      </w:pPr>
      <w:r>
        <w:t xml:space="preserve">Les limites actuelles sont calculées de façon volontairement large : en usage normal, le risque de dépassement est très limité et le dispositif n’a vocation à s’appliquer qu’aux cas d’usage manifestement excessif. Il constitue une simple sécurité.</w:t>
      </w:r>
    </w:p>
    <w:p>
      <w:pPr>
        <w:spacing w:after="120" w:line="276"/>
        <w:jc w:val="both"/>
      </w:pPr>
      <w:r>
        <w:t xml:space="preserve">Lorsque la consommation d’intelligence artificielle d’un Client Final dépasse, sur un mois, le Seuil de Consommation IA ci-dessous, une mise à niveau de l’accès concerné est effectuée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Plan du Client Final</w:t>
            </w:r>
          </w:p>
        </w:tc>
        <w:tc>
          <w:tcPr>
            <w:tcW w:type="dxa" w:w="225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Prix public</w:t>
            </w:r>
          </w:p>
        </w:tc>
        <w:tc>
          <w:tcPr>
            <w:tcW w:type="dxa" w:w="2257"/>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Seuil de coût IA mensuel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Plan Standard (Normal)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9 € / mois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10 €</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Plan Complet (Plus)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19 € / mois</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20 €</w:t>
            </w:r>
          </w:p>
        </w:tc>
      </w:tr>
    </w:tbl>
    <w:p>
      <w:pPr>
        <w:spacing w:after="120" w:line="276"/>
        <w:jc w:val="both"/>
      </w:pPr>
      <w:r>
        <w:t xml:space="preserve">La mise à niveau consiste, au choix de l’Éditeur et après information du Revendeur via l’Interface Admin, soit à faire évoluer l’accès vers un plan adapté à l’usage réel, soit à ajouter au relevé mensuel un complément correspondant au dépassement constaté. Les seuils pourront être révisés à la hausse par l’Éditeur au bénéfice du Revendeur.</w:t>
      </w:r>
    </w:p>
    <w:p>
      <w:pPr>
        <w:pStyle w:val="Heading1"/>
      </w:pPr>
      <w:r>
        <w:t xml:space="preserve">Article 9 — Interface Admin et accès aux données</w:t>
      </w:r>
    </w:p>
    <w:p>
      <w:pPr>
        <w:spacing w:after="120" w:line="276"/>
        <w:jc w:val="both"/>
      </w:pPr>
      <w:r>
        <w:t xml:space="preserve">Le Revendeur dispose, via l’Interface Admin, des fonctions de gestion de ses Clients Finaux : création, activation, suspension et suivi de leur activité sous forme d’indicateurs.</w:t>
      </w:r>
    </w:p>
    <w:p>
      <w:pPr>
        <w:spacing w:after="120" w:line="276"/>
        <w:jc w:val="both"/>
      </w:pPr>
      <w:r>
        <w:t xml:space="preserve">Pour des raisons de conformité au RGPD, le Revendeur n’a pas accès aux données personnelles des contacts (« leads ») collectés par ses Clients Finaux, ni aux contenus créés par ceux-ci. L’Interface Admin expose uniquement des données de gestion et d’activité, à l’exclusion de toute donnée à caractère personnel des tiers et de tout contenu appartenant aux Clients Finaux.</w:t>
      </w:r>
    </w:p>
    <w:p>
      <w:pPr>
        <w:pStyle w:val="Heading1"/>
      </w:pPr>
      <w:r>
        <w:t xml:space="preserve">Article 10 — Protection des données personnelles</w:t>
      </w:r>
    </w:p>
    <w:p>
      <w:pPr>
        <w:spacing w:after="120" w:line="276"/>
        <w:jc w:val="both"/>
      </w:pPr>
      <w:r>
        <w:t xml:space="preserve">Chaque Partie s’engage à respecter la réglementation applicable en matière de protection des données personnelles, notamment le RGPD. Les rôles respectifs des Parties (responsable de traitement, sous-traitant, sous-traitant ultérieur) et les obligations afférentes seront précisés dans un accord de sous-traitance (DPA) conclu séparément et annexé au présent contrat. L’Éditeur met en œuvre des mesures techniques et organisationnelles appropriées pour la sécurité des données qu’il héberge.</w:t>
      </w:r>
    </w:p>
    <w:p>
      <w:pPr>
        <w:pStyle w:val="Heading1"/>
      </w:pPr>
      <w:r>
        <w:t xml:space="preserve">Article 11 — Propriété intellectuelle</w:t>
      </w:r>
    </w:p>
    <w:p>
      <w:pPr>
        <w:spacing w:after="120" w:line="276"/>
        <w:jc w:val="both"/>
      </w:pPr>
      <w:r>
        <w:t xml:space="preserve">Le Logiciel Tiquiz, sa marque, ses composants et son code demeurent la propriété exclusive de l’Éditeur. Le présent contrat confère au Revendeur un simple droit de commercialisation et d’usage, non exclusif et non cessible, pendant sa durée. Aucune marque blanche ni reprise sous une autre marque n’est autorisée, sauf accord écrit spécifique des Parties.</w:t>
      </w:r>
    </w:p>
    <w:p>
      <w:pPr>
        <w:pStyle w:val="Heading1"/>
      </w:pPr>
      <w:r>
        <w:t xml:space="preserve">Article 12 — Confidentialité</w:t>
      </w:r>
    </w:p>
    <w:p>
      <w:pPr>
        <w:spacing w:after="120" w:line="276"/>
        <w:jc w:val="both"/>
      </w:pPr>
      <w:r>
        <w:t xml:space="preserve">Chaque Partie s’engage à conserver confidentielles les informations non publiques échangées dans le cadre du présent contrat, notamment la grille de reversement et les conditions financières, et à ne pas les divulguer à des tiers sans accord préalable, pendant la durée du contrat et [● 2] ans après son terme.</w:t>
      </w:r>
    </w:p>
    <w:p>
      <w:pPr>
        <w:pStyle w:val="Heading1"/>
      </w:pPr>
      <w:r>
        <w:t xml:space="preserve">Article 13 — Durée, résiliation</w:t>
      </w:r>
    </w:p>
    <w:p>
      <w:pPr>
        <w:spacing w:after="120" w:line="276"/>
        <w:jc w:val="both"/>
      </w:pPr>
      <w:r>
        <w:t xml:space="preserve">Le contrat prend effet à sa date de signature pour une durée initiale de [● 12] mois, renouvelable par tacite reconduction par périodes successives de [● 12] mois. Chaque Partie peut y mettre fin à l’échéance moyennant un préavis de [● 60] jours notifié par écrit.</w:t>
      </w:r>
    </w:p>
    <w:p>
      <w:pPr>
        <w:spacing w:after="120" w:line="276"/>
        <w:jc w:val="both"/>
      </w:pPr>
      <w:r>
        <w:t xml:space="preserve">En cas de manquement grave d’une Partie à ses obligations, non réparé dans un délai de [● 30] jours après mise en demeure, l’autre Partie pourra résilier le contrat de plein droit, sans préjudice de tous dommages et intérêts.</w:t>
      </w:r>
    </w:p>
    <w:p>
      <w:pPr>
        <w:pStyle w:val="Heading1"/>
      </w:pPr>
      <w:r>
        <w:t xml:space="preserve">Article 14 — Réversibilité</w:t>
      </w:r>
    </w:p>
    <w:p>
      <w:pPr>
        <w:spacing w:after="120" w:line="276"/>
        <w:jc w:val="both"/>
      </w:pPr>
      <w:r>
        <w:t xml:space="preserve">En cas de cessation du contrat pour quelque cause que ce soit, les Parties définissent ensemble, par écrit, les modalités de transfert ou de fermeture des comptes des Clients Finaux, dans le respect de leurs droits et de la continuité de service, afin qu’aucune Partie ni aucun Client Final ne soit indûment lésé.</w:t>
      </w:r>
    </w:p>
    <w:p>
      <w:pPr>
        <w:pStyle w:val="Heading1"/>
      </w:pPr>
      <w:r>
        <w:t xml:space="preserve">Article 15 — Non-exclusivité</w:t>
      </w:r>
    </w:p>
    <w:p>
      <w:pPr>
        <w:spacing w:after="120" w:line="276"/>
        <w:jc w:val="both"/>
      </w:pPr>
      <w:r>
        <w:t xml:space="preserve">Le présent contrat est conclu sans exclusivité. Chaque Partie demeure libre de nouer des partenariats similaires, sauf accord d’exclusivité distinct négocié et rémunéré séparément.</w:t>
      </w:r>
    </w:p>
    <w:p>
      <w:pPr>
        <w:pStyle w:val="Heading1"/>
      </w:pPr>
      <w:r>
        <w:t xml:space="preserve">Article 16 — Responsabilité et garanties</w:t>
      </w:r>
    </w:p>
    <w:p>
      <w:pPr>
        <w:spacing w:after="120" w:line="276"/>
        <w:jc w:val="both"/>
      </w:pPr>
      <w:r>
        <w:t xml:space="preserve">L’Éditeur s’engage à fournir le Logiciel dans des conditions raisonnables de disponibilité et de qualité, sans garantie d’un chiffre d’affaires ou d’un volume de ventes au bénéfice du Revendeur. La responsabilité de l’Éditeur ne saurait être engagée pour les indisponibilités indépendantes de sa volonté, ni au titre des relations entre le Revendeur et ses Clients Finaux. La responsabilité de chaque Partie est, dans la limite autorisée par la loi, plafonnée au montant des Reversements perçus par l’Éditeur au cours des [● 12] mois précédant le fait générateur.</w:t>
      </w:r>
    </w:p>
    <w:p>
      <w:pPr>
        <w:pStyle w:val="Heading1"/>
      </w:pPr>
      <w:r>
        <w:t xml:space="preserve">Article 17 — Force majeure</w:t>
      </w:r>
    </w:p>
    <w:p>
      <w:pPr>
        <w:spacing w:after="120" w:line="276"/>
        <w:jc w:val="both"/>
      </w:pPr>
      <w:r>
        <w:t xml:space="preserve">Aucune Partie ne pourra être tenue responsable d’un manquement résultant d’un cas de force majeure au sens de l’article 1218 du Code civil et de la jurisprudence applicable.</w:t>
      </w:r>
    </w:p>
    <w:p>
      <w:pPr>
        <w:pStyle w:val="Heading1"/>
      </w:pPr>
      <w:r>
        <w:t xml:space="preserve">Article 18 — Modification</w:t>
      </w:r>
    </w:p>
    <w:p>
      <w:pPr>
        <w:spacing w:after="120" w:line="276"/>
        <w:jc w:val="both"/>
      </w:pPr>
      <w:r>
        <w:t xml:space="preserve">Toute modification du présent contrat fera l’objet d’un avenant écrit signé des deux Parties. L’évolution des seuils IA prévue à l’article 8 au bénéfice du Revendeur ne nécessite pas d’avenant.</w:t>
      </w:r>
    </w:p>
    <w:p>
      <w:pPr>
        <w:pStyle w:val="Heading1"/>
      </w:pPr>
      <w:r>
        <w:t xml:space="preserve">Article 19 — Droit applicable et juridiction</w:t>
      </w:r>
    </w:p>
    <w:p>
      <w:pPr>
        <w:spacing w:after="120" w:line="276"/>
        <w:jc w:val="both"/>
      </w:pPr>
      <w:r>
        <w:t xml:space="preserve">Le présent contrat est régi par le droit français. À défaut de résolution amiable, tout litige relatif à sa validité, son interprétation ou son exécution sera soumis aux tribunaux compétents de [● ressort].</w:t>
      </w:r>
    </w:p>
    <w:p>
      <w:pPr>
        <w:pStyle w:val="Heading1"/>
      </w:pPr>
      <w:r>
        <w:t xml:space="preserve">Signatures</w:t>
      </w:r>
    </w:p>
    <w:p>
      <w:pPr>
        <w:spacing w:after="120" w:line="276"/>
        <w:jc w:val="both"/>
      </w:pPr>
      <w:r>
        <w:t xml:space="preserve">Fait à [●], le [●], en deux exemplaires originaux.</w:t>
      </w:r>
    </w:p>
    <w:p>
      <w:pPr>
        <w:spacing w:before="240"/>
      </w:pPr>
      <w:r>
        <w:rPr>
          <w:b/>
          <w:bCs/>
        </w:rPr>
        <w:t xml:space="preserve">Pour l’Éditeur</w:t>
      </w:r>
      <w:r>
        <w:rPr>
          <w:b/>
          <w:bCs/>
        </w:rPr>
        <w:t xml:space="preserve">					Pour le Revendeur</w:t>
      </w:r>
    </w:p>
    <w:p>
      <w:pPr>
        <w:spacing w:before="120"/>
      </w:pPr>
      <w:r>
        <w:t xml:space="preserve">Nom : [●]						Nom : [●]</w:t>
      </w:r>
    </w:p>
    <w:p>
      <w:pPr>
        <w:spacing w:before="120"/>
      </w:pPr>
      <w:r>
        <w:t xml:space="preserve">Qualité : [●]					Qualité : [●]</w:t>
      </w:r>
    </w:p>
    <w:p>
      <w:pPr>
        <w:spacing w:before="360"/>
      </w:pPr>
      <w:r>
        <w:t xml:space="preserve">Signature (précédée de « Lu et approuvé »)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Contrat de partenariat de revente Tiquiz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jc w:val="center"/>
    </w:pPr>
    <w:rPr>
      <w:rFonts w:ascii="Arial" w:cs="Arial" w:eastAsia="Arial" w:hAnsi="Arial"/>
      <w:b/>
      <w:bCs/>
      <w:color w:val="1F3A5F"/>
      <w:sz w:val="40"/>
      <w:szCs w:val="40"/>
    </w:rPr>
  </w:style>
  <w:style w:type="paragraph" w:styleId="Heading1">
    <w:name w:val="Heading 1"/>
    <w:basedOn w:val="Normal"/>
    <w:next w:val="Normal"/>
    <w:qFormat/>
    <w:pPr>
      <w:pBdr>
        <w:bottom w:val="single" w:color="2E75B6" w:sz="6" w:space="4"/>
      </w:pBdr>
      <w:spacing w:after="120" w:before="260"/>
      <w:outlineLvl w:val="0"/>
    </w:pPr>
    <w:rPr>
      <w:rFonts w:ascii="Arial" w:cs="Arial" w:eastAsia="Arial" w:hAnsi="Arial"/>
      <w:b/>
      <w:bCs/>
      <w:color w:val="1F3A5F"/>
      <w:sz w:val="25"/>
      <w:szCs w:val="25"/>
    </w:rPr>
  </w:style>
  <w:style w:type="paragraph" w:styleId="Heading2">
    <w:name w:val="Heading 2"/>
    <w:basedOn w:val="Normal"/>
    <w:next w:val="Normal"/>
    <w:qFormat/>
    <w:pPr>
      <w:spacing w:after="60" w:before="1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2026-06-11T09:18:15.191Z</dcterms:created>
  <dcterms:modified xsi:type="dcterms:W3CDTF">2026-06-11T09:18:15.193Z</dcterms:modified>
</cp:coreProperties>
</file>

<file path=docProps/custom.xml><?xml version="1.0" encoding="utf-8"?>
<Properties xmlns="http://schemas.openxmlformats.org/officeDocument/2006/custom-properties" xmlns:vt="http://schemas.openxmlformats.org/officeDocument/2006/docPropsVTypes"/>
</file>