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ABA8A" w14:textId="77777777" w:rsidR="00BB7829" w:rsidRDefault="004D546C" w:rsidP="004D546C">
      <w:pPr>
        <w:jc w:val="center"/>
        <w:rPr>
          <w:noProof/>
        </w:rPr>
      </w:pPr>
      <w:r>
        <w:t>Appendix</w:t>
      </w:r>
      <w:r w:rsidR="00BB7829" w:rsidRPr="00BB7829">
        <w:rPr>
          <w:noProof/>
        </w:rPr>
        <w:t xml:space="preserve"> </w:t>
      </w:r>
    </w:p>
    <w:p w14:paraId="57F0F25F" w14:textId="77777777" w:rsidR="00EE7223" w:rsidRDefault="00EE7223" w:rsidP="004D546C">
      <w:pPr>
        <w:jc w:val="center"/>
        <w:rPr>
          <w:noProof/>
        </w:rPr>
      </w:pPr>
    </w:p>
    <w:p w14:paraId="77460B52" w14:textId="77777777" w:rsidR="00EE7223" w:rsidRDefault="00EE7223" w:rsidP="00EE7223">
      <w:r>
        <w:t xml:space="preserve">Third, we transform our data into aggregated regional data by counting the number of children’s homes in each Local authority. We do this to conduct longitudinal models to evaluate whether changes over time are corresponding with area need variably by children home characteristics. We pool our panel data because we are interested in understanding the variation across Local Authorities, given that is where our variation is theoretically located. In our panel regression model, we control for a range of potential confounders to the relationship between placements and need, including demographic density and age. We cluster our standard errors robustly, using small n-adjustments </w:t>
      </w:r>
      <w:r>
        <w:fldChar w:fldCharType="begin"/>
      </w:r>
      <w:r>
        <w:instrText xml:space="preserve"> ADDIN ZOTERO_ITEM CSL_CITATION {"citationID":"SHJtOgPy","properties":{"formattedCitation":"(16)","plainCitation":"(16)","noteIndex":0},"citationItems":[{"id":198,"uris":["http://zotero.org/users/10980353/items/425DB359"],"itemData":{"id":198,"type":"article-journal","abstract":"In panel data models and other regressions with unobserved effects, fixed effects estimation is often paired with cluster-robust variance estimation (CRVE) to account for heteroscedasticity and un-modeled dependence among the errors. Although asymptotically consistent, CRVE can be biased downward when the number of clusters is small, leading to hypothesis tests with rejection rates that are too high. More accurate tests can be constructed using bias-reduced linearization (BRL), which corrects the CRVE based on a working model, in conjunction with a Satterthwaite approximation for t-tests. We propose a generalization of BRL that can be applied in models with arbitrary sets of fixed effects, where the original BRL method is undefined, and describe how to apply the method when the regression is estimated after absorbing the fixed effects. We also propose a small-sample test for multiple-parameter hypotheses, which generalizes the Satterthwaite approximation for t-tests. In simulations covering a wide range of scenarios, we find that the conventional cluster-robust Wald test can severely over-reject while the proposed small-sample test maintains Type I error close to nominal levels. The proposed methods are implemented in an R package called clubSandwich. This article has online supplementary materials.","container-title":"Journal of Business &amp; Economic Statistics","DOI":"10.1080/07350015.2016.1247004","ISSN":"0735-0015","issue":"4","note":"number: 4\npublisher: Taylor &amp; Francis\n_eprint: https://doi.org/10.1080/07350015.2016.1247004","page":"672-683","source":"Taylor and Francis+NEJM","title":"Small-Sample Methods for Cluster-Robust Variance Estimation and Hypothesis Testing in Fixed Effects Models","volume":"36","author":[{"family":"Pustejovsky","given":"James E."},{"family":"Tipton","given":"Elizabeth"}],"issued":{"date-parts":[["2018",10,2]]}}}],"schema":"https://github.com/citation-style-language/schema/raw/master/csl-citation.json"} </w:instrText>
      </w:r>
      <w:r>
        <w:fldChar w:fldCharType="separate"/>
      </w:r>
      <w:r>
        <w:rPr>
          <w:noProof/>
        </w:rPr>
        <w:t>(16)</w:t>
      </w:r>
      <w:r>
        <w:fldChar w:fldCharType="end"/>
      </w:r>
      <w:r>
        <w:t xml:space="preserve">. </w:t>
      </w:r>
    </w:p>
    <w:p w14:paraId="7782FD8D" w14:textId="77777777" w:rsidR="00EE7223" w:rsidRDefault="00EE7223" w:rsidP="004D546C">
      <w:pPr>
        <w:jc w:val="center"/>
        <w:rPr>
          <w:noProof/>
        </w:rPr>
      </w:pPr>
    </w:p>
    <w:p w14:paraId="6CB8B381" w14:textId="77777777" w:rsidR="00BB7829" w:rsidRDefault="00BB7829" w:rsidP="004D546C">
      <w:pPr>
        <w:jc w:val="center"/>
        <w:rPr>
          <w:noProof/>
        </w:rPr>
      </w:pPr>
    </w:p>
    <w:p w14:paraId="087B0B38" w14:textId="77777777" w:rsidR="00BB7829" w:rsidRDefault="00BB7829" w:rsidP="004D546C">
      <w:pPr>
        <w:jc w:val="center"/>
        <w:rPr>
          <w:noProof/>
        </w:rPr>
      </w:pPr>
    </w:p>
    <w:p w14:paraId="03F91C70" w14:textId="04CB5B52" w:rsidR="006C1E57" w:rsidRDefault="00BB7829" w:rsidP="004D546C">
      <w:pPr>
        <w:jc w:val="center"/>
      </w:pPr>
      <w:r>
        <w:rPr>
          <w:noProof/>
        </w:rPr>
        <w:drawing>
          <wp:inline distT="0" distB="0" distL="0" distR="0" wp14:anchorId="0862C6EE" wp14:editId="36AA831D">
            <wp:extent cx="5731510" cy="5015230"/>
            <wp:effectExtent l="0" t="0" r="0" b="1270"/>
            <wp:docPr id="473958550" name="Picture 3" descr="A graph with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58550" name="Picture 3" descr="A graph with black and white line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5015230"/>
                    </a:xfrm>
                    <a:prstGeom prst="rect">
                      <a:avLst/>
                    </a:prstGeom>
                  </pic:spPr>
                </pic:pic>
              </a:graphicData>
            </a:graphic>
          </wp:inline>
        </w:drawing>
      </w:r>
    </w:p>
    <w:sectPr w:rsidR="006C1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B8"/>
    <w:rsid w:val="00015E4B"/>
    <w:rsid w:val="00071562"/>
    <w:rsid w:val="002869DA"/>
    <w:rsid w:val="004D546C"/>
    <w:rsid w:val="00665B04"/>
    <w:rsid w:val="006C1E57"/>
    <w:rsid w:val="00BB7829"/>
    <w:rsid w:val="00C914D8"/>
    <w:rsid w:val="00E561B8"/>
    <w:rsid w:val="00EE7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D2CD"/>
  <w15:chartTrackingRefBased/>
  <w15:docId w15:val="{FFD31BCC-0959-CC4E-8C19-5D32E15E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1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1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1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1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1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1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1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1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1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1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1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1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1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1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1B8"/>
    <w:rPr>
      <w:rFonts w:eastAsiaTheme="majorEastAsia" w:cstheme="majorBidi"/>
      <w:color w:val="272727" w:themeColor="text1" w:themeTint="D8"/>
    </w:rPr>
  </w:style>
  <w:style w:type="paragraph" w:styleId="Title">
    <w:name w:val="Title"/>
    <w:basedOn w:val="Normal"/>
    <w:next w:val="Normal"/>
    <w:link w:val="TitleChar"/>
    <w:uiPriority w:val="10"/>
    <w:qFormat/>
    <w:rsid w:val="00E561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1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1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61B8"/>
    <w:rPr>
      <w:i/>
      <w:iCs/>
      <w:color w:val="404040" w:themeColor="text1" w:themeTint="BF"/>
    </w:rPr>
  </w:style>
  <w:style w:type="paragraph" w:styleId="ListParagraph">
    <w:name w:val="List Paragraph"/>
    <w:basedOn w:val="Normal"/>
    <w:uiPriority w:val="34"/>
    <w:qFormat/>
    <w:rsid w:val="00E561B8"/>
    <w:pPr>
      <w:ind w:left="720"/>
      <w:contextualSpacing/>
    </w:pPr>
  </w:style>
  <w:style w:type="character" w:styleId="IntenseEmphasis">
    <w:name w:val="Intense Emphasis"/>
    <w:basedOn w:val="DefaultParagraphFont"/>
    <w:uiPriority w:val="21"/>
    <w:qFormat/>
    <w:rsid w:val="00E561B8"/>
    <w:rPr>
      <w:i/>
      <w:iCs/>
      <w:color w:val="2F5496" w:themeColor="accent1" w:themeShade="BF"/>
    </w:rPr>
  </w:style>
  <w:style w:type="paragraph" w:styleId="IntenseQuote">
    <w:name w:val="Intense Quote"/>
    <w:basedOn w:val="Normal"/>
    <w:next w:val="Normal"/>
    <w:link w:val="IntenseQuoteChar"/>
    <w:uiPriority w:val="30"/>
    <w:qFormat/>
    <w:rsid w:val="00E561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1B8"/>
    <w:rPr>
      <w:i/>
      <w:iCs/>
      <w:color w:val="2F5496" w:themeColor="accent1" w:themeShade="BF"/>
    </w:rPr>
  </w:style>
  <w:style w:type="character" w:styleId="IntenseReference">
    <w:name w:val="Intense Reference"/>
    <w:basedOn w:val="DefaultParagraphFont"/>
    <w:uiPriority w:val="32"/>
    <w:qFormat/>
    <w:rsid w:val="00E561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Goodair,B</dc:creator>
  <cp:keywords/>
  <dc:description/>
  <cp:lastModifiedBy>Goodair,B</cp:lastModifiedBy>
  <cp:revision>4</cp:revision>
  <dcterms:created xsi:type="dcterms:W3CDTF">2025-03-19T07:53:00Z</dcterms:created>
  <dcterms:modified xsi:type="dcterms:W3CDTF">2025-03-19T07:59:00Z</dcterms:modified>
</cp:coreProperties>
</file>