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7D249" w14:textId="669A6E2D" w:rsidR="00401A68" w:rsidRDefault="00D477C5" w:rsidP="00D477C5">
      <w:pPr>
        <w:jc w:val="center"/>
        <w:rPr>
          <w:b/>
          <w:bCs/>
          <w:u w:val="single"/>
        </w:rPr>
      </w:pPr>
      <w:r w:rsidRPr="00D477C5">
        <w:rPr>
          <w:b/>
          <w:bCs/>
          <w:u w:val="single"/>
        </w:rPr>
        <w:t>Data notes</w:t>
      </w:r>
    </w:p>
    <w:p w14:paraId="02A80608" w14:textId="77777777" w:rsidR="00D477C5" w:rsidRDefault="00D477C5" w:rsidP="00D477C5">
      <w:pPr>
        <w:jc w:val="center"/>
        <w:rPr>
          <w:b/>
          <w:bCs/>
          <w:u w:val="single"/>
        </w:rPr>
      </w:pPr>
    </w:p>
    <w:p w14:paraId="191A42A3" w14:textId="44B49368" w:rsidR="00D477C5" w:rsidRDefault="00D477C5" w:rsidP="00D477C5">
      <w:pPr>
        <w:jc w:val="center"/>
      </w:pPr>
      <w:r>
        <w:t xml:space="preserve">Introduction of Primary Support Reasons 2014-15 was the first year that expenditure was collected by primary support reasons (PSR) rather than client type a change that </w:t>
      </w:r>
      <w:proofErr w:type="gramStart"/>
      <w:r>
        <w:t>a number of</w:t>
      </w:r>
      <w:proofErr w:type="gramEnd"/>
      <w:r>
        <w:t xml:space="preserve"> councils found difficult. For some councils the figures and assumptions about primary support reasons were created in two separate teams for the expenditure and activity sections of the return. The councils below have reported difficulties with the introduction of primary support reasons and aligning this to their Finance systems, this has led to inconsistencies with certain levels of reporting and potentially large variances between councils. Some councils’ finance teams have utilised data sourced from two different systems which has then been matched together </w:t>
      </w:r>
      <w:proofErr w:type="gramStart"/>
      <w:r>
        <w:t>in order to</w:t>
      </w:r>
      <w:proofErr w:type="gramEnd"/>
      <w:r>
        <w:t xml:space="preserve"> comply with the return; this has led to potential inaccuracies in certain areas. </w:t>
      </w:r>
      <w:r>
        <w:sym w:font="Symbol" w:char="F0B7"/>
      </w:r>
      <w:r>
        <w:t xml:space="preserve"> Bromley </w:t>
      </w:r>
      <w:r>
        <w:sym w:font="Symbol" w:char="F0B7"/>
      </w:r>
      <w:r>
        <w:t xml:space="preserve"> Cornwall </w:t>
      </w:r>
      <w:r>
        <w:sym w:font="Symbol" w:char="F0B7"/>
      </w:r>
      <w:r>
        <w:t xml:space="preserve"> Isle of Wight </w:t>
      </w:r>
      <w:r>
        <w:sym w:font="Symbol" w:char="F0B7"/>
      </w:r>
      <w:r>
        <w:t xml:space="preserve"> Lambeth </w:t>
      </w:r>
      <w:r>
        <w:sym w:font="Symbol" w:char="F0B7"/>
      </w:r>
      <w:r>
        <w:t xml:space="preserve"> Luton </w:t>
      </w:r>
      <w:r>
        <w:sym w:font="Symbol" w:char="F0B7"/>
      </w:r>
      <w:r>
        <w:t xml:space="preserve"> Redbridge </w:t>
      </w:r>
      <w:r>
        <w:sym w:font="Symbol" w:char="F0B7"/>
      </w:r>
      <w:r>
        <w:t xml:space="preserve"> Rochdale </w:t>
      </w:r>
      <w:r>
        <w:sym w:font="Symbol" w:char="F0B7"/>
      </w:r>
      <w:r>
        <w:t xml:space="preserve"> South Tyneside </w:t>
      </w:r>
      <w:r>
        <w:sym w:font="Symbol" w:char="F0B7"/>
      </w:r>
      <w:r>
        <w:t xml:space="preserve"> Suffolk </w:t>
      </w:r>
      <w:r>
        <w:sym w:font="Symbol" w:char="F0B7"/>
      </w:r>
      <w:r>
        <w:t xml:space="preserve"> Wirral </w:t>
      </w:r>
      <w:proofErr w:type="gramStart"/>
      <w:r>
        <w:t>In</w:t>
      </w:r>
      <w:proofErr w:type="gramEnd"/>
      <w:r>
        <w:t xml:space="preserve"> some cases expenditure has not been directly coded to primary support reasons or age groups, therefore it has been necessary to apportion costs on this basis. This has led to further difficulties, with some clients not yet allocated to a primary support reason being allocated one </w:t>
      </w:r>
      <w:proofErr w:type="gramStart"/>
      <w:r>
        <w:t>on the basis of</w:t>
      </w:r>
      <w:proofErr w:type="gramEnd"/>
      <w:r>
        <w:t xml:space="preserve"> the proportionate split of clients through review processes. The introduction of primary support reasons has influenced unit costs, as apportionment methods have been used to calculate some of the unit values. Councils which have reported such issues are: Personal Social Services: Expenditure and Unit Costs, England, 2014-15 Final release 58 Copyright © 2015, Health and Social Care Information Centre. All rights reserved. </w:t>
      </w:r>
      <w:r>
        <w:sym w:font="Symbol" w:char="F0B7"/>
      </w:r>
      <w:r>
        <w:t xml:space="preserve"> Blackpool </w:t>
      </w:r>
      <w:r>
        <w:sym w:font="Symbol" w:char="F0B7"/>
      </w:r>
      <w:r>
        <w:t xml:space="preserve"> Bradford </w:t>
      </w:r>
      <w:r>
        <w:sym w:font="Symbol" w:char="F0B7"/>
      </w:r>
      <w:r>
        <w:t xml:space="preserve"> Dorset </w:t>
      </w:r>
      <w:r>
        <w:sym w:font="Symbol" w:char="F0B7"/>
      </w:r>
      <w:r>
        <w:t xml:space="preserve"> Ealing </w:t>
      </w:r>
      <w:r>
        <w:sym w:font="Symbol" w:char="F0B7"/>
      </w:r>
      <w:r>
        <w:t xml:space="preserve"> Essex </w:t>
      </w:r>
      <w:r>
        <w:sym w:font="Symbol" w:char="F0B7"/>
      </w:r>
      <w:r>
        <w:t xml:space="preserve"> Hampshire </w:t>
      </w:r>
      <w:r>
        <w:sym w:font="Symbol" w:char="F0B7"/>
      </w:r>
      <w:r>
        <w:t xml:space="preserve"> Luton </w:t>
      </w:r>
      <w:r>
        <w:sym w:font="Symbol" w:char="F0B7"/>
      </w:r>
      <w:r>
        <w:t xml:space="preserve"> North Tyneside Listed below are those councils who stated in their validation reports or submission response tables that they have had issues with the introduction of Primary Support Reasons which may have affected their return. </w:t>
      </w:r>
      <w:r>
        <w:sym w:font="Symbol" w:char="F0B7"/>
      </w:r>
      <w:r>
        <w:t xml:space="preserve"> Bournemouth </w:t>
      </w:r>
      <w:r>
        <w:sym w:font="Symbol" w:char="F0B7"/>
      </w:r>
      <w:r>
        <w:t xml:space="preserve"> Bromley </w:t>
      </w:r>
      <w:r>
        <w:sym w:font="Symbol" w:char="F0B7"/>
      </w:r>
      <w:r>
        <w:t xml:space="preserve"> North Tyneside </w:t>
      </w:r>
      <w:r>
        <w:sym w:font="Symbol" w:char="F0B7"/>
      </w:r>
      <w:r>
        <w:t xml:space="preserve"> South Tyneside </w:t>
      </w:r>
      <w:r>
        <w:sym w:font="Symbol" w:char="F0B7"/>
      </w:r>
      <w:r>
        <w:t xml:space="preserve"> West Sussex</w:t>
      </w:r>
    </w:p>
    <w:p w14:paraId="0D32102B" w14:textId="77777777" w:rsidR="00D477C5" w:rsidRDefault="00D477C5" w:rsidP="00D477C5">
      <w:pPr>
        <w:jc w:val="center"/>
      </w:pPr>
    </w:p>
    <w:p w14:paraId="0DC38DAD" w14:textId="0AE62F10" w:rsidR="00D477C5" w:rsidRPr="00D477C5" w:rsidRDefault="00D477C5" w:rsidP="00D477C5">
      <w:pPr>
        <w:jc w:val="center"/>
        <w:rPr>
          <w:b/>
          <w:bCs/>
          <w:u w:val="single"/>
        </w:rPr>
      </w:pPr>
      <w:r w:rsidRPr="00D477C5">
        <w:rPr>
          <w:b/>
          <w:bCs/>
          <w:u w:val="single"/>
        </w:rPr>
        <w:t>https://files.digital.nhs.uk/publicationimport/pub19xxx/pub19165/pss-exp-eng-14-15-fin-rep.pdf</w:t>
      </w:r>
    </w:p>
    <w:sectPr w:rsidR="00D477C5" w:rsidRPr="00D47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77C5"/>
    <w:rsid w:val="001152FD"/>
    <w:rsid w:val="00401A68"/>
    <w:rsid w:val="00D244C2"/>
    <w:rsid w:val="00D477C5"/>
    <w:rsid w:val="00DC6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87B5"/>
  <w15:docId w15:val="{4B93D5ED-4F45-427A-B42F-9A839E6E2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Goodair</dc:creator>
  <cp:keywords/>
  <dc:description/>
  <cp:lastModifiedBy>Benjamin Goodair</cp:lastModifiedBy>
  <cp:revision>1</cp:revision>
  <dcterms:created xsi:type="dcterms:W3CDTF">2024-02-22T15:15:00Z</dcterms:created>
  <dcterms:modified xsi:type="dcterms:W3CDTF">2024-02-22T15:19:00Z</dcterms:modified>
</cp:coreProperties>
</file>