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r w:rsidRPr="00C860B6">
        <w:t>CLA_Moth: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anywayyyyy</w:t>
      </w:r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>Number of children looked after in same place for 2 yrs is there but no feckin’ denominator --- brilliant well done to the cunts in charge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70EE7"/>
    <w:rsid w:val="00194F17"/>
    <w:rsid w:val="001C45E0"/>
    <w:rsid w:val="001E3424"/>
    <w:rsid w:val="002861FA"/>
    <w:rsid w:val="00333A5C"/>
    <w:rsid w:val="004163F1"/>
    <w:rsid w:val="004223BC"/>
    <w:rsid w:val="005266BE"/>
    <w:rsid w:val="00707B8C"/>
    <w:rsid w:val="0073447F"/>
    <w:rsid w:val="007500E3"/>
    <w:rsid w:val="00780B8A"/>
    <w:rsid w:val="008A449D"/>
    <w:rsid w:val="008B7D0C"/>
    <w:rsid w:val="008C3087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D94407"/>
    <w:rsid w:val="00E308DD"/>
    <w:rsid w:val="00E45B14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39</cp:revision>
  <dcterms:created xsi:type="dcterms:W3CDTF">2023-08-01T09:05:00Z</dcterms:created>
  <dcterms:modified xsi:type="dcterms:W3CDTF">2023-08-24T08:19:00Z</dcterms:modified>
</cp:coreProperties>
</file>