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CA8" w:rsidRDefault="00992CA8" w:rsidP="00992CA8">
      <w:pPr>
        <w:spacing w:line="312" w:lineRule="auto"/>
        <w:contextualSpacing/>
        <w:jc w:val="right"/>
      </w:pPr>
      <w:r>
        <w:t xml:space="preserve">Ben </w:t>
      </w:r>
      <w:proofErr w:type="spellStart"/>
      <w:r>
        <w:t>Haase</w:t>
      </w:r>
      <w:proofErr w:type="spellEnd"/>
    </w:p>
    <w:p w:rsidR="00992CA8" w:rsidRDefault="00992CA8" w:rsidP="00992CA8">
      <w:pPr>
        <w:spacing w:line="312" w:lineRule="auto"/>
        <w:contextualSpacing/>
        <w:jc w:val="right"/>
      </w:pPr>
      <w:r>
        <w:t>CS3130 Project 2</w:t>
      </w:r>
    </w:p>
    <w:p w:rsidR="00992CA8" w:rsidRDefault="00992CA8" w:rsidP="00992CA8">
      <w:pPr>
        <w:spacing w:line="312" w:lineRule="auto"/>
        <w:contextualSpacing/>
        <w:jc w:val="right"/>
      </w:pPr>
      <w:r>
        <w:t>1</w:t>
      </w:r>
      <w:r w:rsidR="00F55CAF">
        <w:t>1</w:t>
      </w:r>
      <w:r>
        <w:t>/</w:t>
      </w:r>
      <w:r w:rsidR="00F55CAF">
        <w:t>2</w:t>
      </w:r>
      <w:r>
        <w:t>/15</w:t>
      </w:r>
    </w:p>
    <w:p w:rsidR="00992CA8" w:rsidRDefault="00992CA8" w:rsidP="00992CA8">
      <w:pPr>
        <w:spacing w:line="312" w:lineRule="auto"/>
        <w:contextualSpacing/>
        <w:rPr>
          <w:b/>
          <w:u w:val="single"/>
        </w:rPr>
      </w:pPr>
      <w:r>
        <w:rPr>
          <w:b/>
          <w:u w:val="single"/>
        </w:rPr>
        <w:t>Part C: Heap Sort</w:t>
      </w:r>
    </w:p>
    <w:p w:rsidR="000F42BD" w:rsidRDefault="00992CA8" w:rsidP="003D2859">
      <w:pPr>
        <w:spacing w:line="312" w:lineRule="auto"/>
        <w:contextualSpacing/>
        <w:rPr>
          <w:rFonts w:eastAsiaTheme="minorEastAsia"/>
        </w:rPr>
      </w:pPr>
      <w:r>
        <w:tab/>
      </w:r>
      <w:r w:rsidR="00895A50">
        <w:t xml:space="preserve">Heap Sort's time efficiency is characterized mainly by two functions.  The function max </w:t>
      </w:r>
      <w:proofErr w:type="spellStart"/>
      <w:r w:rsidR="00895A50">
        <w:t>heapify</w:t>
      </w:r>
      <w:proofErr w:type="spellEnd"/>
      <w:r w:rsidR="00895A50">
        <w:t xml:space="preserve"> compares elements and is a recursive function.  Max </w:t>
      </w:r>
      <w:proofErr w:type="spellStart"/>
      <w:r w:rsidR="00895A50">
        <w:t>heapify</w:t>
      </w:r>
      <w:proofErr w:type="spellEnd"/>
      <w:r w:rsidR="00895A50">
        <w:t xml:space="preserve"> performs a constant amount of operations each time it is called, and works recursively looking at the element passed to it and the two elements below it in the heap.  Max </w:t>
      </w:r>
      <w:proofErr w:type="spellStart"/>
      <w:r w:rsidR="00895A50">
        <w:t>heapify</w:t>
      </w:r>
      <w:proofErr w:type="spellEnd"/>
      <w:r w:rsidR="00895A50">
        <w:t xml:space="preserve"> ceases recursion at the</w:t>
      </w:r>
      <w:r w:rsidR="001E280F">
        <w:t xml:space="preserve"> worst case</w:t>
      </w:r>
      <w:r w:rsidR="00895A50">
        <w:t xml:space="preserve"> when it reaches the bottom </w:t>
      </w:r>
      <w:r w:rsidR="000F42BD">
        <w:t xml:space="preserve">of the heap.  Max </w:t>
      </w:r>
      <w:proofErr w:type="spellStart"/>
      <w:r w:rsidR="000F42BD">
        <w:t>heapify</w:t>
      </w:r>
      <w:proofErr w:type="spellEnd"/>
      <w:r w:rsidR="000F42BD">
        <w:t xml:space="preserve"> moves in powers of two, since each time it is called it looks at </w:t>
      </w:r>
      <w:proofErr w:type="spellStart"/>
      <w:r w:rsidR="000F42BD">
        <w:t>i</w:t>
      </w:r>
      <w:proofErr w:type="spellEnd"/>
      <w:r w:rsidR="000F42BD">
        <w:t>, 2i, and 2i+1.  Therefore it will run until 2</w:t>
      </w:r>
      <w:r w:rsidR="000F42BD">
        <w:rPr>
          <w:vertAlign w:val="superscript"/>
        </w:rPr>
        <w:t>x</w:t>
      </w:r>
      <w:r w:rsidR="000F42BD">
        <w:t xml:space="preserve"> = n, so </w:t>
      </w:r>
      <w:proofErr w:type="spellStart"/>
      <w:r w:rsidR="000F42BD">
        <w:t>lgn</w:t>
      </w:r>
      <w:proofErr w:type="spellEnd"/>
      <w:r w:rsidR="000F42BD">
        <w:t xml:space="preserve"> times.  In th</w:t>
      </w:r>
      <w:r w:rsidR="00AD55BF">
        <w:t>e</w:t>
      </w:r>
      <w:r w:rsidR="000F42BD">
        <w:t xml:space="preserve"> heap sort function this function along with some constants, are called n times.</w:t>
      </w:r>
      <w:r w:rsidR="00AD55BF">
        <w:t xml:space="preserve">  The function build max heap is called once at the beginning of the heap sort function, outside of the iteration, and builds a heap from the bottom up.  It calls the function max </w:t>
      </w:r>
      <w:proofErr w:type="spellStart"/>
      <w:r w:rsidR="00AD55BF">
        <w:t>heapify</w:t>
      </w:r>
      <w:proofErr w:type="spellEnd"/>
      <w:r w:rsidR="00AD55BF">
        <w:t xml:space="preserve"> floor(n/2) times, since max </w:t>
      </w:r>
      <w:proofErr w:type="spellStart"/>
      <w:r w:rsidR="00AD55BF">
        <w:t>heapify</w:t>
      </w:r>
      <w:proofErr w:type="spellEnd"/>
      <w:r w:rsidR="00AD55BF">
        <w:t xml:space="preserve"> has a time efficiency of </w:t>
      </w:r>
      <w:r w:rsidR="00405DD6">
        <w:t>Θ(</w:t>
      </w:r>
      <w:proofErr w:type="spellStart"/>
      <w:r w:rsidR="00405DD6">
        <w:t>lgn</w:t>
      </w:r>
      <w:proofErr w:type="spellEnd"/>
      <w:r w:rsidR="00405DD6">
        <w:t xml:space="preserve">), the time efficiency of </w:t>
      </w:r>
      <w:r w:rsidR="00527FAD">
        <w:t>build max heap will be</w:t>
      </w:r>
      <w:r w:rsidR="00527FAD">
        <w:rPr>
          <w:rFonts w:eastAsiaTheme="minorEastAsia"/>
        </w:rPr>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h-1</m:t>
            </m:r>
          </m:sup>
          <m:e>
            <m:r>
              <w:rPr>
                <w:rFonts w:ascii="Cambria Math" w:hAnsi="Cambria Math"/>
              </w:rPr>
              <m:t>2</m:t>
            </m:r>
            <m:d>
              <m:dPr>
                <m:ctrlPr>
                  <w:rPr>
                    <w:rFonts w:ascii="Cambria Math" w:hAnsi="Cambria Math"/>
                    <w:i/>
                  </w:rPr>
                </m:ctrlPr>
              </m:dPr>
              <m:e>
                <m:r>
                  <w:rPr>
                    <w:rFonts w:ascii="Cambria Math" w:hAnsi="Cambria Math"/>
                  </w:rPr>
                  <m:t>h-i</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e>
        </m:nary>
        <m:r>
          <w:rPr>
            <w:rFonts w:ascii="Cambria Math" w:hAnsi="Cambria Math"/>
          </w:rPr>
          <m:t>)=2</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-1</m:t>
                </m:r>
              </m:e>
            </m:d>
            <m:r>
              <w:rPr>
                <w:rFonts w:ascii="Cambria Math" w:hAnsi="Cambria Math"/>
              </w:rPr>
              <m:t xml:space="preserve">- </m:t>
            </m:r>
            <m:d>
              <m:dPr>
                <m:ctrlPr>
                  <w:rPr>
                    <w:rFonts w:ascii="Cambria Math" w:hAnsi="Cambria Math"/>
                    <w:i/>
                  </w:rPr>
                </m:ctrlPr>
              </m:dPr>
              <m:e>
                <m:r>
                  <w:rPr>
                    <w:rFonts w:ascii="Cambria Math" w:hAnsi="Cambria Math"/>
                  </w:rPr>
                  <m:t>h-2</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h</m:t>
                    </m:r>
                  </m:sup>
                </m:sSup>
              </m:e>
            </m:d>
            <m:r>
              <w:rPr>
                <w:rFonts w:ascii="Cambria Math" w:hAnsi="Cambria Math"/>
              </w:rPr>
              <m:t>-2</m:t>
            </m:r>
          </m:e>
        </m:d>
        <m:r>
          <w:rPr>
            <w:rFonts w:ascii="Cambria Math" w:hAnsi="Cambria Math"/>
          </w:rPr>
          <m:t>= 2</m:t>
        </m:r>
        <m:d>
          <m:dPr>
            <m:begChr m:val="["/>
            <m:endChr m:val="]"/>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n+1</m:t>
                    </m:r>
                  </m:e>
                </m:d>
                <m:ctrlPr>
                  <w:rPr>
                    <w:rFonts w:ascii="Cambria Math" w:hAnsi="Cambria Math"/>
                    <w:i/>
                  </w:rPr>
                </m:ctrlPr>
              </m:e>
            </m:func>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-2</m:t>
            </m:r>
          </m:e>
        </m:d>
        <m:r>
          <w:rPr>
            <w:rFonts w:ascii="Cambria Math" w:hAnsi="Cambria Math"/>
          </w:rPr>
          <m:t>= 2</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n+1</m:t>
                    </m:r>
                  </m:e>
                </m:d>
              </m:e>
            </m:func>
            <m:r>
              <w:rPr>
                <w:rFonts w:ascii="Cambria Math" w:hAnsi="Cambria Math"/>
              </w:rPr>
              <m:t>+ N</m:t>
            </m:r>
          </m:e>
        </m:d>
      </m:oMath>
      <w:r w:rsidR="00396D4F">
        <w:rPr>
          <w:rFonts w:eastAsiaTheme="minorEastAsia"/>
        </w:rPr>
        <w:t xml:space="preserve">  ε Θ(n).  For building a heap from the top down, each iteration of the insertion algorithm an element is placed in the bottom of the heap and moved to the top.  Since h=floor(</w:t>
      </w:r>
      <w:proofErr w:type="spellStart"/>
      <w:r w:rsidR="00396D4F">
        <w:rPr>
          <w:rFonts w:eastAsiaTheme="minorEastAsia"/>
        </w:rPr>
        <w:t>lgn</w:t>
      </w:r>
      <w:proofErr w:type="spellEnd"/>
      <w:r w:rsidR="00396D4F">
        <w:rPr>
          <w:rFonts w:eastAsiaTheme="minorEastAsia"/>
        </w:rPr>
        <w:t>), there will be at most h comp</w:t>
      </w:r>
      <w:r w:rsidR="00C436BF">
        <w:rPr>
          <w:rFonts w:eastAsiaTheme="minorEastAsia"/>
        </w:rPr>
        <w:t xml:space="preserve">arisons per element.  With </w:t>
      </w:r>
      <w:r w:rsidR="000C6EFE">
        <w:rPr>
          <w:rFonts w:eastAsiaTheme="minorEastAsia"/>
        </w:rPr>
        <w:t>n elements undergoing floor(</w:t>
      </w:r>
      <w:proofErr w:type="spellStart"/>
      <w:r w:rsidR="000C6EFE">
        <w:rPr>
          <w:rFonts w:eastAsiaTheme="minorEastAsia"/>
        </w:rPr>
        <w:t>lgn</w:t>
      </w:r>
      <w:proofErr w:type="spellEnd"/>
      <w:r w:rsidR="000C6EFE">
        <w:rPr>
          <w:rFonts w:eastAsiaTheme="minorEastAsia"/>
        </w:rPr>
        <w:t xml:space="preserve">) comparisons, the </w:t>
      </w:r>
      <w:r w:rsidR="00C436BF">
        <w:rPr>
          <w:rFonts w:eastAsiaTheme="minorEastAsia"/>
        </w:rPr>
        <w:t xml:space="preserve">time efficiency for a building a heap from the top down </w:t>
      </w:r>
      <w:r w:rsidR="000C6EFE">
        <w:rPr>
          <w:rFonts w:eastAsiaTheme="minorEastAsia"/>
        </w:rPr>
        <w:t>ε O(</w:t>
      </w:r>
      <w:proofErr w:type="spellStart"/>
      <w:r w:rsidR="000C6EFE">
        <w:rPr>
          <w:rFonts w:eastAsiaTheme="minorEastAsia"/>
        </w:rPr>
        <w:t>nlgn</w:t>
      </w:r>
      <w:proofErr w:type="spellEnd"/>
      <w:r w:rsidR="000C6EFE">
        <w:rPr>
          <w:rFonts w:eastAsiaTheme="minorEastAsia"/>
        </w:rPr>
        <w:t xml:space="preserve">).  </w:t>
      </w:r>
      <w:r w:rsidR="00E3526C">
        <w:rPr>
          <w:rFonts w:eastAsiaTheme="minorEastAsia"/>
        </w:rPr>
        <w:t xml:space="preserve">For heap sort with bottom up construction we have n + </w:t>
      </w:r>
      <w:proofErr w:type="spellStart"/>
      <w:r w:rsidR="00E3526C">
        <w:rPr>
          <w:rFonts w:eastAsiaTheme="minorEastAsia"/>
        </w:rPr>
        <w:t>nlgn</w:t>
      </w:r>
      <w:proofErr w:type="spellEnd"/>
      <w:r w:rsidR="00E3526C">
        <w:rPr>
          <w:rFonts w:eastAsiaTheme="minorEastAsia"/>
        </w:rPr>
        <w:t xml:space="preserve">, so </w:t>
      </w:r>
      <w:proofErr w:type="spellStart"/>
      <w:r w:rsidR="00E3526C">
        <w:rPr>
          <w:rFonts w:eastAsiaTheme="minorEastAsia"/>
        </w:rPr>
        <w:t>heapsort</w:t>
      </w:r>
      <w:r w:rsidR="00E3526C">
        <w:rPr>
          <w:rFonts w:eastAsiaTheme="minorEastAsia"/>
          <w:vertAlign w:val="subscript"/>
        </w:rPr>
        <w:t>bu</w:t>
      </w:r>
      <w:proofErr w:type="spellEnd"/>
      <w:r w:rsidR="00E3526C">
        <w:rPr>
          <w:rFonts w:eastAsiaTheme="minorEastAsia"/>
        </w:rPr>
        <w:t xml:space="preserve"> </w:t>
      </w:r>
      <w:r w:rsidR="00E3526C" w:rsidRPr="00E3526C">
        <w:rPr>
          <w:rFonts w:eastAsia="MS Mincho" w:cs="MS Mincho"/>
        </w:rPr>
        <w:t>ε</w:t>
      </w:r>
      <w:r w:rsidR="00E3526C">
        <w:rPr>
          <w:rFonts w:eastAsia="MS Mincho" w:cs="MS Mincho"/>
        </w:rPr>
        <w:t xml:space="preserve"> </w:t>
      </w:r>
      <w:r w:rsidR="00E3526C">
        <w:rPr>
          <w:rFonts w:eastAsiaTheme="minorEastAsia"/>
        </w:rPr>
        <w:t>Θ(</w:t>
      </w:r>
      <w:proofErr w:type="spellStart"/>
      <w:r w:rsidR="00E3526C">
        <w:rPr>
          <w:rFonts w:eastAsiaTheme="minorEastAsia"/>
        </w:rPr>
        <w:t>nlgn</w:t>
      </w:r>
      <w:proofErr w:type="spellEnd"/>
      <w:r w:rsidR="00E3526C">
        <w:rPr>
          <w:rFonts w:eastAsiaTheme="minorEastAsia"/>
        </w:rPr>
        <w:t xml:space="preserve">).  For </w:t>
      </w:r>
      <w:proofErr w:type="spellStart"/>
      <w:r w:rsidR="00E3526C">
        <w:rPr>
          <w:rFonts w:eastAsiaTheme="minorEastAsia"/>
        </w:rPr>
        <w:t>heapsort</w:t>
      </w:r>
      <w:proofErr w:type="spellEnd"/>
      <w:r w:rsidR="00E3526C">
        <w:rPr>
          <w:rFonts w:eastAsiaTheme="minorEastAsia"/>
        </w:rPr>
        <w:t xml:space="preserve"> with top down construction we have </w:t>
      </w:r>
      <w:proofErr w:type="spellStart"/>
      <w:r w:rsidR="00E3526C">
        <w:rPr>
          <w:rFonts w:eastAsiaTheme="minorEastAsia"/>
        </w:rPr>
        <w:t>nlgn</w:t>
      </w:r>
      <w:proofErr w:type="spellEnd"/>
      <w:r w:rsidR="00E3526C">
        <w:rPr>
          <w:rFonts w:eastAsiaTheme="minorEastAsia"/>
        </w:rPr>
        <w:t xml:space="preserve"> +</w:t>
      </w:r>
      <w:proofErr w:type="spellStart"/>
      <w:r w:rsidR="00E3526C">
        <w:rPr>
          <w:rFonts w:eastAsiaTheme="minorEastAsia"/>
        </w:rPr>
        <w:t>nlgn</w:t>
      </w:r>
      <w:proofErr w:type="spellEnd"/>
      <w:r w:rsidR="00E3526C">
        <w:rPr>
          <w:rFonts w:eastAsiaTheme="minorEastAsia"/>
        </w:rPr>
        <w:t xml:space="preserve">, so </w:t>
      </w:r>
      <w:proofErr w:type="spellStart"/>
      <w:r w:rsidR="00E3526C">
        <w:rPr>
          <w:rFonts w:eastAsiaTheme="minorEastAsia"/>
        </w:rPr>
        <w:t>heapsort</w:t>
      </w:r>
      <w:r w:rsidR="00E3526C">
        <w:rPr>
          <w:rFonts w:eastAsiaTheme="minorEastAsia"/>
          <w:vertAlign w:val="subscript"/>
        </w:rPr>
        <w:t>td</w:t>
      </w:r>
      <w:proofErr w:type="spellEnd"/>
      <w:r w:rsidR="00E3526C">
        <w:rPr>
          <w:rFonts w:eastAsiaTheme="minorEastAsia"/>
        </w:rPr>
        <w:t xml:space="preserve"> ε Θ(</w:t>
      </w:r>
      <w:proofErr w:type="spellStart"/>
      <w:r w:rsidR="00E3526C">
        <w:rPr>
          <w:rFonts w:eastAsiaTheme="minorEastAsia"/>
        </w:rPr>
        <w:t>nlgn</w:t>
      </w:r>
      <w:proofErr w:type="spellEnd"/>
      <w:r w:rsidR="00E3526C">
        <w:rPr>
          <w:rFonts w:eastAsiaTheme="minorEastAsia"/>
        </w:rPr>
        <w:t xml:space="preserve">).  We would expect </w:t>
      </w:r>
      <w:proofErr w:type="spellStart"/>
      <w:r w:rsidR="00E3526C">
        <w:rPr>
          <w:rFonts w:eastAsiaTheme="minorEastAsia"/>
        </w:rPr>
        <w:t>heapsort</w:t>
      </w:r>
      <w:r w:rsidR="00E3526C">
        <w:rPr>
          <w:rFonts w:eastAsiaTheme="minorEastAsia"/>
          <w:vertAlign w:val="subscript"/>
        </w:rPr>
        <w:t>td</w:t>
      </w:r>
      <w:proofErr w:type="spellEnd"/>
      <w:r w:rsidR="00E3526C">
        <w:rPr>
          <w:rFonts w:eastAsiaTheme="minorEastAsia"/>
        </w:rPr>
        <w:t xml:space="preserve"> to take roughly twice as long as </w:t>
      </w:r>
      <w:proofErr w:type="spellStart"/>
      <w:r w:rsidR="00E3526C">
        <w:rPr>
          <w:rFonts w:eastAsiaTheme="minorEastAsia"/>
        </w:rPr>
        <w:t>heapsort</w:t>
      </w:r>
      <w:r w:rsidR="00E3526C">
        <w:rPr>
          <w:rFonts w:eastAsiaTheme="minorEastAsia"/>
          <w:vertAlign w:val="subscript"/>
        </w:rPr>
        <w:t>bu</w:t>
      </w:r>
      <w:proofErr w:type="spellEnd"/>
      <w:r w:rsidR="003D026D">
        <w:rPr>
          <w:rFonts w:eastAsiaTheme="minorEastAsia"/>
        </w:rPr>
        <w:t>.</w:t>
      </w:r>
    </w:p>
    <w:p w:rsidR="006704C7" w:rsidRDefault="006704C7" w:rsidP="003D2859">
      <w:pPr>
        <w:spacing w:line="312" w:lineRule="auto"/>
        <w:contextualSpacing/>
        <w:rPr>
          <w:rFonts w:eastAsiaTheme="minorEastAsia"/>
        </w:rPr>
      </w:pPr>
    </w:p>
    <w:tbl>
      <w:tblPr>
        <w:tblStyle w:val="TableGrid"/>
        <w:tblW w:w="0" w:type="auto"/>
        <w:tblLook w:val="04A0"/>
      </w:tblPr>
      <w:tblGrid>
        <w:gridCol w:w="1915"/>
        <w:gridCol w:w="1915"/>
        <w:gridCol w:w="1915"/>
        <w:gridCol w:w="1915"/>
        <w:gridCol w:w="1916"/>
      </w:tblGrid>
      <w:tr w:rsidR="000E05FD" w:rsidTr="008B3396">
        <w:tc>
          <w:tcPr>
            <w:tcW w:w="1915" w:type="dxa"/>
          </w:tcPr>
          <w:p w:rsidR="000E05FD" w:rsidRPr="000E05FD" w:rsidRDefault="000E05FD" w:rsidP="000E05FD">
            <w:pPr>
              <w:spacing w:line="312" w:lineRule="auto"/>
              <w:contextualSpacing/>
              <w:rPr>
                <w:rFonts w:eastAsiaTheme="minorEastAsia"/>
                <w:b/>
              </w:rPr>
            </w:pPr>
            <w:r w:rsidRPr="000E05FD">
              <w:rPr>
                <w:rFonts w:eastAsiaTheme="minorEastAsia"/>
                <w:b/>
              </w:rPr>
              <w:t>N</w:t>
            </w:r>
          </w:p>
        </w:tc>
        <w:tc>
          <w:tcPr>
            <w:tcW w:w="1915" w:type="dxa"/>
            <w:vAlign w:val="bottom"/>
          </w:tcPr>
          <w:p w:rsidR="000E05FD" w:rsidRPr="000E05FD" w:rsidRDefault="000E05FD" w:rsidP="000E05FD">
            <w:pPr>
              <w:jc w:val="center"/>
              <w:rPr>
                <w:rFonts w:ascii="Calibri" w:hAnsi="Calibri"/>
                <w:b/>
                <w:color w:val="000000"/>
              </w:rPr>
            </w:pPr>
            <w:r w:rsidRPr="000E05FD">
              <w:rPr>
                <w:rFonts w:ascii="Calibri" w:hAnsi="Calibri"/>
                <w:b/>
                <w:color w:val="000000"/>
              </w:rPr>
              <w:t>1000</w:t>
            </w:r>
          </w:p>
        </w:tc>
        <w:tc>
          <w:tcPr>
            <w:tcW w:w="1915" w:type="dxa"/>
            <w:vAlign w:val="bottom"/>
          </w:tcPr>
          <w:p w:rsidR="000E05FD" w:rsidRPr="000E05FD" w:rsidRDefault="000E05FD" w:rsidP="000E05FD">
            <w:pPr>
              <w:jc w:val="center"/>
              <w:rPr>
                <w:rFonts w:ascii="Calibri" w:hAnsi="Calibri"/>
                <w:b/>
                <w:color w:val="000000"/>
              </w:rPr>
            </w:pPr>
            <w:r w:rsidRPr="000E05FD">
              <w:rPr>
                <w:rFonts w:ascii="Calibri" w:hAnsi="Calibri"/>
                <w:b/>
                <w:color w:val="000000"/>
              </w:rPr>
              <w:t>10000</w:t>
            </w:r>
          </w:p>
        </w:tc>
        <w:tc>
          <w:tcPr>
            <w:tcW w:w="1915" w:type="dxa"/>
            <w:vAlign w:val="bottom"/>
          </w:tcPr>
          <w:p w:rsidR="000E05FD" w:rsidRPr="000E05FD" w:rsidRDefault="000E05FD" w:rsidP="000E05FD">
            <w:pPr>
              <w:jc w:val="center"/>
              <w:rPr>
                <w:rFonts w:ascii="Calibri" w:hAnsi="Calibri"/>
                <w:b/>
                <w:color w:val="000000"/>
              </w:rPr>
            </w:pPr>
            <w:r w:rsidRPr="000E05FD">
              <w:rPr>
                <w:rFonts w:ascii="Calibri" w:hAnsi="Calibri"/>
                <w:b/>
                <w:color w:val="000000"/>
              </w:rPr>
              <w:t>100000</w:t>
            </w:r>
          </w:p>
        </w:tc>
        <w:tc>
          <w:tcPr>
            <w:tcW w:w="1916" w:type="dxa"/>
            <w:vAlign w:val="bottom"/>
          </w:tcPr>
          <w:p w:rsidR="000E05FD" w:rsidRPr="000E05FD" w:rsidRDefault="000E05FD" w:rsidP="000E05FD">
            <w:pPr>
              <w:jc w:val="center"/>
              <w:rPr>
                <w:rFonts w:ascii="Calibri" w:hAnsi="Calibri"/>
                <w:b/>
                <w:color w:val="000000"/>
              </w:rPr>
            </w:pPr>
            <w:r w:rsidRPr="000E05FD">
              <w:rPr>
                <w:rFonts w:ascii="Calibri" w:hAnsi="Calibri"/>
                <w:b/>
                <w:color w:val="000000"/>
              </w:rPr>
              <w:t>1000000</w:t>
            </w:r>
          </w:p>
        </w:tc>
      </w:tr>
      <w:tr w:rsidR="000E05FD" w:rsidTr="008B3396">
        <w:tc>
          <w:tcPr>
            <w:tcW w:w="1915" w:type="dxa"/>
          </w:tcPr>
          <w:p w:rsidR="000E05FD" w:rsidRPr="000E05FD" w:rsidRDefault="000E05FD" w:rsidP="000E05FD">
            <w:pPr>
              <w:spacing w:line="312" w:lineRule="auto"/>
              <w:contextualSpacing/>
              <w:rPr>
                <w:rFonts w:eastAsiaTheme="minorEastAsia"/>
                <w:b/>
              </w:rPr>
            </w:pPr>
            <w:r w:rsidRPr="000E05FD">
              <w:rPr>
                <w:rFonts w:eastAsiaTheme="minorEastAsia"/>
                <w:b/>
              </w:rPr>
              <w:t>Build Heap</w:t>
            </w:r>
          </w:p>
        </w:tc>
        <w:tc>
          <w:tcPr>
            <w:tcW w:w="1915" w:type="dxa"/>
            <w:vAlign w:val="bottom"/>
          </w:tcPr>
          <w:p w:rsidR="000E05FD" w:rsidRDefault="000E05FD">
            <w:pPr>
              <w:jc w:val="right"/>
              <w:rPr>
                <w:rFonts w:ascii="Calibri" w:hAnsi="Calibri"/>
                <w:color w:val="000000"/>
              </w:rPr>
            </w:pPr>
            <w:r>
              <w:rPr>
                <w:rFonts w:ascii="Calibri" w:hAnsi="Calibri"/>
                <w:color w:val="000000"/>
              </w:rPr>
              <w:t>0.0003</w:t>
            </w:r>
          </w:p>
        </w:tc>
        <w:tc>
          <w:tcPr>
            <w:tcW w:w="1915" w:type="dxa"/>
            <w:vAlign w:val="bottom"/>
          </w:tcPr>
          <w:p w:rsidR="000E05FD" w:rsidRDefault="000E05FD">
            <w:pPr>
              <w:jc w:val="right"/>
              <w:rPr>
                <w:rFonts w:ascii="Calibri" w:hAnsi="Calibri"/>
                <w:color w:val="000000"/>
              </w:rPr>
            </w:pPr>
            <w:r>
              <w:rPr>
                <w:rFonts w:ascii="Calibri" w:hAnsi="Calibri"/>
                <w:color w:val="000000"/>
              </w:rPr>
              <w:t>0.0018</w:t>
            </w:r>
          </w:p>
        </w:tc>
        <w:tc>
          <w:tcPr>
            <w:tcW w:w="1915" w:type="dxa"/>
            <w:vAlign w:val="bottom"/>
          </w:tcPr>
          <w:p w:rsidR="000E05FD" w:rsidRDefault="000E05FD">
            <w:pPr>
              <w:jc w:val="right"/>
              <w:rPr>
                <w:rFonts w:ascii="Calibri" w:hAnsi="Calibri"/>
                <w:color w:val="000000"/>
              </w:rPr>
            </w:pPr>
            <w:r>
              <w:rPr>
                <w:rFonts w:ascii="Calibri" w:hAnsi="Calibri"/>
                <w:color w:val="000000"/>
              </w:rPr>
              <w:t>0.0164</w:t>
            </w:r>
          </w:p>
        </w:tc>
        <w:tc>
          <w:tcPr>
            <w:tcW w:w="1916" w:type="dxa"/>
            <w:vAlign w:val="bottom"/>
          </w:tcPr>
          <w:p w:rsidR="000E05FD" w:rsidRDefault="000E05FD">
            <w:pPr>
              <w:jc w:val="right"/>
              <w:rPr>
                <w:rFonts w:ascii="Calibri" w:hAnsi="Calibri"/>
                <w:color w:val="000000"/>
              </w:rPr>
            </w:pPr>
            <w:r>
              <w:rPr>
                <w:rFonts w:ascii="Calibri" w:hAnsi="Calibri"/>
                <w:color w:val="000000"/>
              </w:rPr>
              <w:t>0.2073</w:t>
            </w:r>
          </w:p>
        </w:tc>
      </w:tr>
      <w:tr w:rsidR="000E05FD" w:rsidTr="008B3396">
        <w:tc>
          <w:tcPr>
            <w:tcW w:w="1915" w:type="dxa"/>
          </w:tcPr>
          <w:p w:rsidR="000E05FD" w:rsidRPr="000E05FD" w:rsidRDefault="000E05FD" w:rsidP="000E05FD">
            <w:pPr>
              <w:spacing w:line="312" w:lineRule="auto"/>
              <w:contextualSpacing/>
              <w:rPr>
                <w:rFonts w:eastAsiaTheme="minorEastAsia"/>
                <w:b/>
              </w:rPr>
            </w:pPr>
            <w:r w:rsidRPr="000E05FD">
              <w:rPr>
                <w:rFonts w:eastAsiaTheme="minorEastAsia"/>
                <w:b/>
              </w:rPr>
              <w:t>Heap Sort Total</w:t>
            </w:r>
          </w:p>
        </w:tc>
        <w:tc>
          <w:tcPr>
            <w:tcW w:w="1915" w:type="dxa"/>
            <w:vAlign w:val="bottom"/>
          </w:tcPr>
          <w:p w:rsidR="000E05FD" w:rsidRDefault="000E05FD">
            <w:pPr>
              <w:jc w:val="right"/>
              <w:rPr>
                <w:rFonts w:ascii="Calibri" w:hAnsi="Calibri"/>
                <w:color w:val="000000"/>
              </w:rPr>
            </w:pPr>
            <w:r>
              <w:rPr>
                <w:rFonts w:ascii="Calibri" w:hAnsi="Calibri"/>
                <w:color w:val="000000"/>
              </w:rPr>
              <w:t>0.0018</w:t>
            </w:r>
          </w:p>
        </w:tc>
        <w:tc>
          <w:tcPr>
            <w:tcW w:w="1915" w:type="dxa"/>
            <w:vAlign w:val="bottom"/>
          </w:tcPr>
          <w:p w:rsidR="000E05FD" w:rsidRDefault="000E05FD">
            <w:pPr>
              <w:jc w:val="right"/>
              <w:rPr>
                <w:rFonts w:ascii="Calibri" w:hAnsi="Calibri"/>
                <w:color w:val="000000"/>
              </w:rPr>
            </w:pPr>
            <w:r>
              <w:rPr>
                <w:rFonts w:ascii="Calibri" w:hAnsi="Calibri"/>
                <w:color w:val="000000"/>
              </w:rPr>
              <w:t>0.0268</w:t>
            </w:r>
          </w:p>
        </w:tc>
        <w:tc>
          <w:tcPr>
            <w:tcW w:w="1915" w:type="dxa"/>
            <w:vAlign w:val="bottom"/>
          </w:tcPr>
          <w:p w:rsidR="000E05FD" w:rsidRDefault="000E05FD">
            <w:pPr>
              <w:jc w:val="right"/>
              <w:rPr>
                <w:rFonts w:ascii="Calibri" w:hAnsi="Calibri"/>
                <w:color w:val="000000"/>
              </w:rPr>
            </w:pPr>
            <w:r>
              <w:rPr>
                <w:rFonts w:ascii="Calibri" w:hAnsi="Calibri"/>
                <w:color w:val="000000"/>
              </w:rPr>
              <w:t>0.3562</w:t>
            </w:r>
          </w:p>
        </w:tc>
        <w:tc>
          <w:tcPr>
            <w:tcW w:w="1916" w:type="dxa"/>
            <w:vAlign w:val="bottom"/>
          </w:tcPr>
          <w:p w:rsidR="000E05FD" w:rsidRDefault="000E05FD">
            <w:pPr>
              <w:jc w:val="right"/>
              <w:rPr>
                <w:rFonts w:ascii="Calibri" w:hAnsi="Calibri"/>
                <w:color w:val="000000"/>
              </w:rPr>
            </w:pPr>
            <w:r>
              <w:rPr>
                <w:rFonts w:ascii="Calibri" w:hAnsi="Calibri"/>
                <w:color w:val="000000"/>
              </w:rPr>
              <w:t>4.1051</w:t>
            </w:r>
          </w:p>
        </w:tc>
      </w:tr>
      <w:tr w:rsidR="000E05FD" w:rsidTr="008B3396">
        <w:tc>
          <w:tcPr>
            <w:tcW w:w="1915" w:type="dxa"/>
          </w:tcPr>
          <w:p w:rsidR="000E05FD" w:rsidRPr="000E05FD" w:rsidRDefault="000E05FD" w:rsidP="000E05FD">
            <w:pPr>
              <w:spacing w:line="312" w:lineRule="auto"/>
              <w:contextualSpacing/>
              <w:rPr>
                <w:rFonts w:eastAsiaTheme="minorEastAsia"/>
                <w:b/>
              </w:rPr>
            </w:pPr>
            <w:r w:rsidRPr="000E05FD">
              <w:rPr>
                <w:rFonts w:eastAsiaTheme="minorEastAsia"/>
                <w:b/>
              </w:rPr>
              <w:t xml:space="preserve"> Build/Total</w:t>
            </w:r>
          </w:p>
        </w:tc>
        <w:tc>
          <w:tcPr>
            <w:tcW w:w="1915" w:type="dxa"/>
            <w:vAlign w:val="bottom"/>
          </w:tcPr>
          <w:p w:rsidR="000E05FD" w:rsidRDefault="000E05FD">
            <w:pPr>
              <w:jc w:val="right"/>
              <w:rPr>
                <w:rFonts w:ascii="Calibri" w:hAnsi="Calibri"/>
                <w:color w:val="000000"/>
              </w:rPr>
            </w:pPr>
            <w:r>
              <w:rPr>
                <w:rFonts w:ascii="Calibri" w:hAnsi="Calibri"/>
                <w:color w:val="000000"/>
              </w:rPr>
              <w:t>0.166666667</w:t>
            </w:r>
          </w:p>
        </w:tc>
        <w:tc>
          <w:tcPr>
            <w:tcW w:w="1915" w:type="dxa"/>
            <w:vAlign w:val="bottom"/>
          </w:tcPr>
          <w:p w:rsidR="000E05FD" w:rsidRDefault="000E05FD">
            <w:pPr>
              <w:jc w:val="right"/>
              <w:rPr>
                <w:rFonts w:ascii="Calibri" w:hAnsi="Calibri"/>
                <w:color w:val="000000"/>
              </w:rPr>
            </w:pPr>
            <w:r>
              <w:rPr>
                <w:rFonts w:ascii="Calibri" w:hAnsi="Calibri"/>
                <w:color w:val="000000"/>
              </w:rPr>
              <w:t>0.067164</w:t>
            </w:r>
          </w:p>
        </w:tc>
        <w:tc>
          <w:tcPr>
            <w:tcW w:w="1915" w:type="dxa"/>
            <w:vAlign w:val="bottom"/>
          </w:tcPr>
          <w:p w:rsidR="000E05FD" w:rsidRDefault="000E05FD">
            <w:pPr>
              <w:jc w:val="right"/>
              <w:rPr>
                <w:rFonts w:ascii="Calibri" w:hAnsi="Calibri"/>
                <w:color w:val="000000"/>
              </w:rPr>
            </w:pPr>
            <w:r>
              <w:rPr>
                <w:rFonts w:ascii="Calibri" w:hAnsi="Calibri"/>
                <w:color w:val="000000"/>
              </w:rPr>
              <w:t>0.046042</w:t>
            </w:r>
          </w:p>
        </w:tc>
        <w:tc>
          <w:tcPr>
            <w:tcW w:w="1916" w:type="dxa"/>
            <w:vAlign w:val="bottom"/>
          </w:tcPr>
          <w:p w:rsidR="00B439BF" w:rsidRDefault="000E05FD">
            <w:pPr>
              <w:jc w:val="right"/>
              <w:rPr>
                <w:rFonts w:ascii="Calibri" w:hAnsi="Calibri"/>
                <w:color w:val="000000"/>
              </w:rPr>
            </w:pPr>
            <w:r>
              <w:rPr>
                <w:rFonts w:ascii="Calibri" w:hAnsi="Calibri"/>
                <w:color w:val="000000"/>
              </w:rPr>
              <w:t>0.050498</w:t>
            </w:r>
          </w:p>
        </w:tc>
      </w:tr>
      <w:tr w:rsidR="00476981" w:rsidTr="008B3396">
        <w:tc>
          <w:tcPr>
            <w:tcW w:w="1915" w:type="dxa"/>
          </w:tcPr>
          <w:p w:rsidR="00476981" w:rsidRPr="00B439BF" w:rsidRDefault="00476981" w:rsidP="003B2663">
            <w:pPr>
              <w:spacing w:line="312" w:lineRule="auto"/>
              <w:contextualSpacing/>
              <w:rPr>
                <w:rFonts w:eastAsiaTheme="minorEastAsia"/>
                <w:b/>
              </w:rPr>
            </w:pPr>
            <w:r>
              <w:rPr>
                <w:rFonts w:eastAsiaTheme="minorEastAsia"/>
                <w:b/>
              </w:rPr>
              <w:t xml:space="preserve">1/(1 + </w:t>
            </w:r>
            <w:proofErr w:type="spellStart"/>
            <w:r>
              <w:rPr>
                <w:rFonts w:eastAsiaTheme="minorEastAsia"/>
                <w:b/>
              </w:rPr>
              <w:t>lg</w:t>
            </w:r>
            <w:proofErr w:type="spellEnd"/>
            <w:r>
              <w:rPr>
                <w:rFonts w:eastAsiaTheme="minorEastAsia"/>
                <w:b/>
              </w:rPr>
              <w:t>(N))</w:t>
            </w:r>
          </w:p>
        </w:tc>
        <w:tc>
          <w:tcPr>
            <w:tcW w:w="1915" w:type="dxa"/>
            <w:vAlign w:val="bottom"/>
          </w:tcPr>
          <w:p w:rsidR="00476981" w:rsidRDefault="00476981">
            <w:pPr>
              <w:jc w:val="right"/>
              <w:rPr>
                <w:rFonts w:ascii="Calibri" w:hAnsi="Calibri"/>
                <w:color w:val="000000"/>
              </w:rPr>
            </w:pPr>
            <w:r>
              <w:rPr>
                <w:rFonts w:ascii="Calibri" w:hAnsi="Calibri"/>
                <w:color w:val="000000"/>
              </w:rPr>
              <w:t>0.09119275</w:t>
            </w:r>
          </w:p>
        </w:tc>
        <w:tc>
          <w:tcPr>
            <w:tcW w:w="1915" w:type="dxa"/>
            <w:vAlign w:val="bottom"/>
          </w:tcPr>
          <w:p w:rsidR="00476981" w:rsidRDefault="00476981">
            <w:pPr>
              <w:jc w:val="right"/>
              <w:rPr>
                <w:rFonts w:ascii="Calibri" w:hAnsi="Calibri"/>
                <w:color w:val="000000"/>
              </w:rPr>
            </w:pPr>
            <w:r>
              <w:rPr>
                <w:rFonts w:ascii="Calibri" w:hAnsi="Calibri"/>
                <w:color w:val="000000"/>
              </w:rPr>
              <w:t>0.06999</w:t>
            </w:r>
          </w:p>
        </w:tc>
        <w:tc>
          <w:tcPr>
            <w:tcW w:w="1915" w:type="dxa"/>
            <w:vAlign w:val="bottom"/>
          </w:tcPr>
          <w:p w:rsidR="00476981" w:rsidRDefault="00476981">
            <w:pPr>
              <w:jc w:val="right"/>
              <w:rPr>
                <w:rFonts w:ascii="Calibri" w:hAnsi="Calibri"/>
                <w:color w:val="000000"/>
              </w:rPr>
            </w:pPr>
            <w:r>
              <w:rPr>
                <w:rFonts w:ascii="Calibri" w:hAnsi="Calibri"/>
                <w:color w:val="000000"/>
              </w:rPr>
              <w:t>0.056787</w:t>
            </w:r>
          </w:p>
        </w:tc>
        <w:tc>
          <w:tcPr>
            <w:tcW w:w="1916" w:type="dxa"/>
            <w:vAlign w:val="bottom"/>
          </w:tcPr>
          <w:p w:rsidR="00476981" w:rsidRDefault="00476981">
            <w:pPr>
              <w:jc w:val="right"/>
              <w:rPr>
                <w:rFonts w:ascii="Calibri" w:hAnsi="Calibri"/>
                <w:color w:val="000000"/>
              </w:rPr>
            </w:pPr>
            <w:r>
              <w:rPr>
                <w:rFonts w:ascii="Calibri" w:hAnsi="Calibri"/>
                <w:color w:val="000000"/>
              </w:rPr>
              <w:t>0.047775</w:t>
            </w:r>
          </w:p>
        </w:tc>
      </w:tr>
    </w:tbl>
    <w:p w:rsidR="009B1B20" w:rsidRDefault="009B1B20" w:rsidP="003D2859">
      <w:pPr>
        <w:spacing w:line="312" w:lineRule="auto"/>
        <w:contextualSpacing/>
        <w:rPr>
          <w:rFonts w:eastAsiaTheme="minorEastAsia"/>
        </w:rPr>
      </w:pPr>
    </w:p>
    <w:p w:rsidR="003D026D" w:rsidRDefault="003D026D" w:rsidP="003D2859">
      <w:pPr>
        <w:spacing w:line="312" w:lineRule="auto"/>
        <w:contextualSpacing/>
        <w:rPr>
          <w:rFonts w:eastAsiaTheme="minorEastAsia"/>
        </w:rPr>
      </w:pPr>
      <w:r>
        <w:rPr>
          <w:rFonts w:eastAsiaTheme="minorEastAsia"/>
        </w:rPr>
        <w:tab/>
        <w:t>In the implementation of heap sort using a bottom up construction, very similar result to the theoretical time complexity were observed</w:t>
      </w:r>
      <w:r w:rsidR="00476981">
        <w:rPr>
          <w:rFonts w:eastAsiaTheme="minorEastAsia"/>
        </w:rPr>
        <w:t>.  The percentage of time used in heap construction is very close to theoretical expectations based on heap construction ε Θ(N) and heap sort ε Θ(</w:t>
      </w:r>
      <w:proofErr w:type="spellStart"/>
      <w:r w:rsidR="00476981">
        <w:rPr>
          <w:rFonts w:eastAsiaTheme="minorEastAsia"/>
        </w:rPr>
        <w:t>Nl</w:t>
      </w:r>
      <w:r w:rsidR="00CC2B85">
        <w:rPr>
          <w:rFonts w:eastAsiaTheme="minorEastAsia"/>
        </w:rPr>
        <w:t>gN</w:t>
      </w:r>
      <w:proofErr w:type="spellEnd"/>
      <w:r w:rsidR="00CC2B85">
        <w:rPr>
          <w:rFonts w:eastAsiaTheme="minorEastAsia"/>
        </w:rPr>
        <w:t>).  Theoretically dividing the time to build the heap by the total time should be roughly equal to N/(</w:t>
      </w:r>
      <w:proofErr w:type="spellStart"/>
      <w:r w:rsidR="00CC2B85">
        <w:rPr>
          <w:rFonts w:eastAsiaTheme="minorEastAsia"/>
        </w:rPr>
        <w:t>N+NlgN</w:t>
      </w:r>
      <w:proofErr w:type="spellEnd"/>
      <w:r w:rsidR="00CC2B85">
        <w:rPr>
          <w:rFonts w:eastAsiaTheme="minorEastAsia"/>
        </w:rPr>
        <w:t>) = 1/(1+lgN).  In the results very similar values to this were obtained.  The slight variance from the actual value is most likely due to the lack of precision available in timing, specifically for the heap construction time due to its fast execution.</w:t>
      </w:r>
      <w:r w:rsidR="00FF30B2">
        <w:rPr>
          <w:rFonts w:eastAsiaTheme="minorEastAsia"/>
        </w:rPr>
        <w:t xml:space="preserve">  In an effort to try to improve the accuracy of these times, the execution time of heap sort was determined by finding the average for ten arrays ran ten </w:t>
      </w:r>
      <w:r w:rsidR="00FF30B2">
        <w:rPr>
          <w:rFonts w:eastAsiaTheme="minorEastAsia"/>
        </w:rPr>
        <w:lastRenderedPageBreak/>
        <w:t>times each for each value of N.  Through this heap construction time was able to be measured, but its accuracy for smaller values of N has a greater variance caused by low execution times.</w:t>
      </w:r>
    </w:p>
    <w:p w:rsidR="007A769B" w:rsidRDefault="007A769B" w:rsidP="003D2859">
      <w:pPr>
        <w:spacing w:line="312" w:lineRule="auto"/>
        <w:contextualSpacing/>
        <w:rPr>
          <w:rFonts w:eastAsiaTheme="minorEastAsia"/>
        </w:rPr>
      </w:pPr>
    </w:p>
    <w:p w:rsidR="007A769B" w:rsidRDefault="0099770D" w:rsidP="003D2859">
      <w:pPr>
        <w:spacing w:line="312" w:lineRule="auto"/>
        <w:contextualSpacing/>
        <w:rPr>
          <w:rFonts w:eastAsiaTheme="minorEastAsia"/>
        </w:rPr>
      </w:pPr>
      <w:r w:rsidRPr="0099770D">
        <w:rPr>
          <w:rFonts w:eastAsiaTheme="minorEastAsia"/>
        </w:rPr>
        <w:drawing>
          <wp:inline distT="0" distB="0" distL="0" distR="0">
            <wp:extent cx="5876925" cy="2819401"/>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9770D" w:rsidRPr="0099770D" w:rsidRDefault="0099770D" w:rsidP="003D2859">
      <w:pPr>
        <w:spacing w:line="312" w:lineRule="auto"/>
        <w:contextualSpacing/>
        <w:rPr>
          <w:rFonts w:eastAsiaTheme="minorEastAsia"/>
        </w:rPr>
      </w:pPr>
      <w:r w:rsidRPr="0099770D">
        <w:rPr>
          <w:rFonts w:eastAsiaTheme="minorEastAsia"/>
        </w:rPr>
        <w:drawing>
          <wp:inline distT="0" distB="0" distL="0" distR="0">
            <wp:extent cx="5876925" cy="2819401"/>
            <wp:effectExtent l="1905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A769B" w:rsidRDefault="007A769B" w:rsidP="003D2859">
      <w:pPr>
        <w:spacing w:line="312" w:lineRule="auto"/>
        <w:contextualSpacing/>
        <w:rPr>
          <w:rFonts w:eastAsiaTheme="minorEastAsia"/>
        </w:rPr>
      </w:pPr>
      <w:r>
        <w:rPr>
          <w:rFonts w:eastAsiaTheme="minorEastAsia"/>
        </w:rPr>
        <w:tab/>
        <w:t>Graphically both the total time of heap sort and the time spent in heap construction appear to be linear, which is what we would expect.  As previously shown</w:t>
      </w:r>
      <w:r w:rsidR="0099770D">
        <w:rPr>
          <w:rFonts w:eastAsiaTheme="minorEastAsia"/>
        </w:rPr>
        <w:t>,</w:t>
      </w:r>
      <w:r>
        <w:rPr>
          <w:rFonts w:eastAsiaTheme="minorEastAsia"/>
        </w:rPr>
        <w:t xml:space="preserve"> bottom up heap construct</w:t>
      </w:r>
      <w:r w:rsidR="00C92ED5">
        <w:rPr>
          <w:rFonts w:eastAsiaTheme="minorEastAsia"/>
        </w:rPr>
        <w:t>ion occurs in linear time, and as N gets sufficiently l</w:t>
      </w:r>
      <w:r w:rsidR="0099770D">
        <w:rPr>
          <w:rFonts w:eastAsiaTheme="minorEastAsia"/>
        </w:rPr>
        <w:t xml:space="preserve">arge the total time of heap sort will be dominated by N giving it a linear </w:t>
      </w:r>
      <w:r w:rsidR="002D231B">
        <w:rPr>
          <w:rFonts w:eastAsiaTheme="minorEastAsia"/>
        </w:rPr>
        <w:t>appearance.</w:t>
      </w:r>
    </w:p>
    <w:p w:rsidR="006F3F3A" w:rsidRDefault="002D231B" w:rsidP="003D2859">
      <w:pPr>
        <w:spacing w:line="312" w:lineRule="auto"/>
        <w:contextualSpacing/>
        <w:rPr>
          <w:rFonts w:eastAsiaTheme="minorEastAsia"/>
        </w:rPr>
      </w:pPr>
      <w:r>
        <w:rPr>
          <w:rFonts w:eastAsiaTheme="minorEastAsia"/>
        </w:rPr>
        <w:tab/>
        <w:t>Looking at F(10N)/ F(N) we expect to see similar values to that of 10Nlg10N/</w:t>
      </w:r>
      <w:proofErr w:type="spellStart"/>
      <w:r>
        <w:rPr>
          <w:rFonts w:eastAsiaTheme="minorEastAsia"/>
        </w:rPr>
        <w:t>NlgN</w:t>
      </w:r>
      <w:proofErr w:type="spellEnd"/>
      <w:r w:rsidR="009D3A67">
        <w:rPr>
          <w:rFonts w:eastAsiaTheme="minorEastAsia"/>
        </w:rPr>
        <w:t xml:space="preserve"> with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r>
                  <w:rPr>
                    <w:rFonts w:ascii="Cambria Math" w:hAnsi="Cambria Math"/>
                  </w:rPr>
                  <m:t>→∞</m:t>
                </m:r>
                <m:ctrlPr>
                  <w:rPr>
                    <w:rFonts w:ascii="Cambria Math" w:hAnsi="Cambria Math"/>
                    <w:i/>
                  </w:rPr>
                </m:ctrlPr>
              </m:lim>
            </m:limLow>
            <m:ctrlPr>
              <w:rPr>
                <w:rFonts w:ascii="Cambria Math"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10Nlg</m:t>
                    </m:r>
                    <m:d>
                      <m:dPr>
                        <m:ctrlPr>
                          <w:rPr>
                            <w:rFonts w:ascii="Cambria Math" w:hAnsi="Cambria Math"/>
                            <w:i/>
                          </w:rPr>
                        </m:ctrlPr>
                      </m:dPr>
                      <m:e>
                        <m:r>
                          <w:rPr>
                            <w:rFonts w:ascii="Cambria Math" w:hAnsi="Cambria Math"/>
                          </w:rPr>
                          <m:t>10N</m:t>
                        </m:r>
                      </m:e>
                    </m:d>
                    <m:ctrlPr>
                      <w:rPr>
                        <w:rFonts w:ascii="Cambria Math" w:hAnsi="Cambria Math"/>
                        <w:i/>
                      </w:rPr>
                    </m:ctrlPr>
                  </m:num>
                  <m:den>
                    <m:r>
                      <w:rPr>
                        <w:rFonts w:ascii="Cambria Math" w:hAnsi="Cambria Math"/>
                      </w:rPr>
                      <m:t>Nlg</m:t>
                    </m:r>
                    <m:d>
                      <m:dPr>
                        <m:ctrlPr>
                          <w:rPr>
                            <w:rFonts w:ascii="Cambria Math" w:hAnsi="Cambria Math"/>
                            <w:i/>
                          </w:rPr>
                        </m:ctrlPr>
                      </m:dPr>
                      <m:e>
                        <m:r>
                          <w:rPr>
                            <w:rFonts w:ascii="Cambria Math" w:hAnsi="Cambria Math"/>
                          </w:rPr>
                          <m:t>N</m:t>
                        </m:r>
                      </m:e>
                    </m:d>
                    <m:ctrlPr>
                      <w:rPr>
                        <w:rFonts w:ascii="Cambria Math" w:hAnsi="Cambria Math"/>
                        <w:i/>
                      </w:rPr>
                    </m:ctrlPr>
                  </m:den>
                </m:f>
              </m:e>
            </m:d>
            <m:ctrlPr>
              <w:rPr>
                <w:rFonts w:ascii="Cambria Math" w:hAnsi="Cambria Math"/>
                <w:i/>
              </w:rPr>
            </m:ctrlPr>
          </m:e>
        </m:func>
        <m:r>
          <w:rPr>
            <w:rFonts w:ascii="Cambria Math"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r>
                  <w:rPr>
                    <w:rFonts w:ascii="Cambria Math" w:hAnsi="Cambria Math"/>
                  </w:rPr>
                  <m:t>→∞</m:t>
                </m:r>
                <m:ctrlPr>
                  <w:rPr>
                    <w:rFonts w:ascii="Cambria Math" w:hAnsi="Cambria Math"/>
                    <w:i/>
                  </w:rPr>
                </m:ctrlPr>
              </m:lim>
            </m:limLow>
            <m:ctrlPr>
              <w:rPr>
                <w:rFonts w:ascii="Cambria Math"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10N(lg</m:t>
                    </m:r>
                    <m:d>
                      <m:dPr>
                        <m:ctrlPr>
                          <w:rPr>
                            <w:rFonts w:ascii="Cambria Math" w:hAnsi="Cambria Math"/>
                            <w:i/>
                          </w:rPr>
                        </m:ctrlPr>
                      </m:dPr>
                      <m:e>
                        <m:r>
                          <w:rPr>
                            <w:rFonts w:ascii="Cambria Math" w:hAnsi="Cambria Math"/>
                          </w:rPr>
                          <m:t>10)+lg(N)</m:t>
                        </m:r>
                      </m:e>
                    </m:d>
                    <m:ctrlPr>
                      <w:rPr>
                        <w:rFonts w:ascii="Cambria Math" w:hAnsi="Cambria Math"/>
                        <w:i/>
                      </w:rPr>
                    </m:ctrlPr>
                  </m:num>
                  <m:den>
                    <m:r>
                      <w:rPr>
                        <w:rFonts w:ascii="Cambria Math" w:hAnsi="Cambria Math"/>
                      </w:rPr>
                      <m:t>Nlg</m:t>
                    </m:r>
                    <m:d>
                      <m:dPr>
                        <m:ctrlPr>
                          <w:rPr>
                            <w:rFonts w:ascii="Cambria Math" w:hAnsi="Cambria Math"/>
                            <w:i/>
                          </w:rPr>
                        </m:ctrlPr>
                      </m:dPr>
                      <m:e>
                        <m:r>
                          <w:rPr>
                            <w:rFonts w:ascii="Cambria Math" w:hAnsi="Cambria Math"/>
                          </w:rPr>
                          <m:t>N</m:t>
                        </m:r>
                      </m:e>
                    </m:d>
                    <m:ctrlPr>
                      <w:rPr>
                        <w:rFonts w:ascii="Cambria Math" w:hAnsi="Cambria Math"/>
                        <w:i/>
                      </w:rPr>
                    </m:ctrlPr>
                  </m:den>
                </m:f>
              </m:e>
            </m:d>
            <m:r>
              <w:rPr>
                <w:rFonts w:ascii="Cambria Math" w:eastAsiaTheme="minorEastAsia" w:hAnsi="Cambria Math"/>
              </w:rPr>
              <m:t>= 10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r>
                      <w:rPr>
                        <w:rFonts w:ascii="Cambria Math" w:hAnsi="Cambria Math"/>
                      </w:rPr>
                      <m:t>→∞</m:t>
                    </m:r>
                    <m:ctrlPr>
                      <w:rPr>
                        <w:rFonts w:ascii="Cambria Math" w:hAnsi="Cambria Math"/>
                        <w:i/>
                      </w:rPr>
                    </m:ctrlPr>
                  </m:lim>
                </m:limLow>
                <m:ctrlPr>
                  <w:rPr>
                    <w:rFonts w:ascii="Cambria Math"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lg</m:t>
                        </m:r>
                        <m:d>
                          <m:dPr>
                            <m:ctrlPr>
                              <w:rPr>
                                <w:rFonts w:ascii="Cambria Math" w:hAnsi="Cambria Math"/>
                                <w:i/>
                              </w:rPr>
                            </m:ctrlPr>
                          </m:dPr>
                          <m:e>
                            <m:r>
                              <w:rPr>
                                <w:rFonts w:ascii="Cambria Math" w:hAnsi="Cambria Math"/>
                              </w:rPr>
                              <m:t>10)+lg(N</m:t>
                            </m:r>
                          </m:e>
                        </m:d>
                        <m:ctrlPr>
                          <w:rPr>
                            <w:rFonts w:ascii="Cambria Math" w:hAnsi="Cambria Math"/>
                            <w:i/>
                          </w:rPr>
                        </m:ctrlPr>
                      </m:num>
                      <m:den>
                        <m:r>
                          <w:rPr>
                            <w:rFonts w:ascii="Cambria Math" w:hAnsi="Cambria Math"/>
                          </w:rPr>
                          <m:t>lg</m:t>
                        </m:r>
                        <m:d>
                          <m:dPr>
                            <m:ctrlPr>
                              <w:rPr>
                                <w:rFonts w:ascii="Cambria Math" w:hAnsi="Cambria Math"/>
                                <w:i/>
                              </w:rPr>
                            </m:ctrlPr>
                          </m:dPr>
                          <m:e>
                            <m:r>
                              <w:rPr>
                                <w:rFonts w:ascii="Cambria Math" w:hAnsi="Cambria Math"/>
                              </w:rPr>
                              <m:t>N</m:t>
                            </m:r>
                          </m:e>
                        </m:d>
                        <m:ctrlPr>
                          <w:rPr>
                            <w:rFonts w:ascii="Cambria Math" w:hAnsi="Cambria Math"/>
                            <w:i/>
                          </w:rPr>
                        </m:ctrlPr>
                      </m:den>
                    </m:f>
                  </m:e>
                </m:d>
                <m:ctrlPr>
                  <w:rPr>
                    <w:rFonts w:ascii="Cambria Math" w:hAnsi="Cambria Math"/>
                    <w:i/>
                  </w:rPr>
                </m:ctrlPr>
              </m:e>
            </m:func>
            <m:ctrlPr>
              <w:rPr>
                <w:rFonts w:ascii="Cambria Math" w:hAnsi="Cambria Math"/>
                <w:i/>
              </w:rPr>
            </m:ctrlPr>
          </m:e>
        </m:func>
        <m:r>
          <w:rPr>
            <w:rFonts w:ascii="Cambria Math" w:hAnsi="Cambria Math"/>
          </w:rPr>
          <m:t>= 10</m:t>
        </m:r>
      </m:oMath>
      <w:r w:rsidR="006F3F3A">
        <w:rPr>
          <w:rFonts w:eastAsiaTheme="minorEastAsia"/>
        </w:rPr>
        <w:t xml:space="preserve"> so we expect these values to be decreasing and leveling off around 10.  Looking at the data this holds true for the implementation.</w:t>
      </w:r>
    </w:p>
    <w:tbl>
      <w:tblPr>
        <w:tblStyle w:val="TableGrid"/>
        <w:tblW w:w="0" w:type="auto"/>
        <w:tblLook w:val="04A0"/>
      </w:tblPr>
      <w:tblGrid>
        <w:gridCol w:w="2394"/>
        <w:gridCol w:w="2394"/>
        <w:gridCol w:w="2394"/>
        <w:gridCol w:w="2394"/>
      </w:tblGrid>
      <w:tr w:rsidR="006F3F3A" w:rsidTr="006F3F3A">
        <w:tc>
          <w:tcPr>
            <w:tcW w:w="2394" w:type="dxa"/>
          </w:tcPr>
          <w:p w:rsidR="006F3F3A" w:rsidRPr="006F3F3A" w:rsidRDefault="006F3F3A" w:rsidP="003D2859">
            <w:pPr>
              <w:spacing w:line="312" w:lineRule="auto"/>
              <w:contextualSpacing/>
              <w:rPr>
                <w:rFonts w:eastAsiaTheme="minorEastAsia"/>
                <w:b/>
              </w:rPr>
            </w:pPr>
            <w:r w:rsidRPr="006F3F3A">
              <w:rPr>
                <w:rFonts w:eastAsiaTheme="minorEastAsia"/>
                <w:b/>
              </w:rPr>
              <w:lastRenderedPageBreak/>
              <w:t>10N/N</w:t>
            </w:r>
          </w:p>
        </w:tc>
        <w:tc>
          <w:tcPr>
            <w:tcW w:w="2394" w:type="dxa"/>
            <w:vAlign w:val="bottom"/>
          </w:tcPr>
          <w:p w:rsidR="006F3F3A" w:rsidRPr="006F3F3A" w:rsidRDefault="006F3F3A" w:rsidP="006F3F3A">
            <w:pPr>
              <w:jc w:val="center"/>
              <w:rPr>
                <w:rFonts w:ascii="Calibri" w:hAnsi="Calibri"/>
                <w:b/>
                <w:color w:val="000000"/>
              </w:rPr>
            </w:pPr>
            <w:r w:rsidRPr="006F3F3A">
              <w:rPr>
                <w:rFonts w:ascii="Calibri" w:hAnsi="Calibri"/>
                <w:b/>
                <w:color w:val="000000"/>
              </w:rPr>
              <w:t>10000/1000</w:t>
            </w:r>
          </w:p>
        </w:tc>
        <w:tc>
          <w:tcPr>
            <w:tcW w:w="2394" w:type="dxa"/>
            <w:vAlign w:val="bottom"/>
          </w:tcPr>
          <w:p w:rsidR="006F3F3A" w:rsidRPr="006F3F3A" w:rsidRDefault="006F3F3A" w:rsidP="006F3F3A">
            <w:pPr>
              <w:jc w:val="center"/>
              <w:rPr>
                <w:rFonts w:ascii="Calibri" w:hAnsi="Calibri"/>
                <w:b/>
                <w:color w:val="000000"/>
              </w:rPr>
            </w:pPr>
            <w:r w:rsidRPr="006F3F3A">
              <w:rPr>
                <w:rFonts w:ascii="Calibri" w:hAnsi="Calibri"/>
                <w:b/>
                <w:color w:val="000000"/>
              </w:rPr>
              <w:t>100000/10000</w:t>
            </w:r>
          </w:p>
        </w:tc>
        <w:tc>
          <w:tcPr>
            <w:tcW w:w="2394" w:type="dxa"/>
            <w:vAlign w:val="bottom"/>
          </w:tcPr>
          <w:p w:rsidR="006F3F3A" w:rsidRPr="006F3F3A" w:rsidRDefault="006F3F3A" w:rsidP="006F3F3A">
            <w:pPr>
              <w:jc w:val="center"/>
              <w:rPr>
                <w:rFonts w:ascii="Calibri" w:hAnsi="Calibri"/>
                <w:b/>
                <w:color w:val="000000"/>
              </w:rPr>
            </w:pPr>
            <w:r w:rsidRPr="006F3F3A">
              <w:rPr>
                <w:rFonts w:ascii="Calibri" w:hAnsi="Calibri"/>
                <w:b/>
                <w:color w:val="000000"/>
              </w:rPr>
              <w:t>1000000/100000</w:t>
            </w:r>
          </w:p>
        </w:tc>
      </w:tr>
      <w:tr w:rsidR="006F3F3A" w:rsidTr="006F3F3A">
        <w:tc>
          <w:tcPr>
            <w:tcW w:w="2394" w:type="dxa"/>
          </w:tcPr>
          <w:p w:rsidR="006F3F3A" w:rsidRPr="006F3F3A" w:rsidRDefault="006F3F3A" w:rsidP="003D2859">
            <w:pPr>
              <w:spacing w:line="312" w:lineRule="auto"/>
              <w:contextualSpacing/>
              <w:rPr>
                <w:rFonts w:eastAsiaTheme="minorEastAsia"/>
                <w:b/>
              </w:rPr>
            </w:pPr>
            <w:r w:rsidRPr="006F3F3A">
              <w:rPr>
                <w:rFonts w:eastAsiaTheme="minorEastAsia"/>
                <w:b/>
              </w:rPr>
              <w:t>F(10N)/F(N)</w:t>
            </w:r>
          </w:p>
        </w:tc>
        <w:tc>
          <w:tcPr>
            <w:tcW w:w="2394" w:type="dxa"/>
            <w:vAlign w:val="bottom"/>
          </w:tcPr>
          <w:p w:rsidR="006F3F3A" w:rsidRDefault="006F3F3A">
            <w:pPr>
              <w:jc w:val="right"/>
              <w:rPr>
                <w:rFonts w:ascii="Calibri" w:hAnsi="Calibri"/>
                <w:color w:val="000000"/>
              </w:rPr>
            </w:pPr>
            <w:r>
              <w:rPr>
                <w:rFonts w:ascii="Calibri" w:hAnsi="Calibri"/>
                <w:color w:val="000000"/>
              </w:rPr>
              <w:t>14.8888889</w:t>
            </w:r>
          </w:p>
        </w:tc>
        <w:tc>
          <w:tcPr>
            <w:tcW w:w="2394" w:type="dxa"/>
            <w:vAlign w:val="bottom"/>
          </w:tcPr>
          <w:p w:rsidR="006F3F3A" w:rsidRDefault="006F3F3A">
            <w:pPr>
              <w:jc w:val="right"/>
              <w:rPr>
                <w:rFonts w:ascii="Calibri" w:hAnsi="Calibri"/>
                <w:color w:val="000000"/>
              </w:rPr>
            </w:pPr>
            <w:r>
              <w:rPr>
                <w:rFonts w:ascii="Calibri" w:hAnsi="Calibri"/>
                <w:color w:val="000000"/>
              </w:rPr>
              <w:t>13.29104478</w:t>
            </w:r>
          </w:p>
        </w:tc>
        <w:tc>
          <w:tcPr>
            <w:tcW w:w="2394" w:type="dxa"/>
            <w:vAlign w:val="bottom"/>
          </w:tcPr>
          <w:p w:rsidR="006F3F3A" w:rsidRDefault="006F3F3A">
            <w:pPr>
              <w:jc w:val="right"/>
              <w:rPr>
                <w:rFonts w:ascii="Calibri" w:hAnsi="Calibri"/>
                <w:color w:val="000000"/>
              </w:rPr>
            </w:pPr>
            <w:r>
              <w:rPr>
                <w:rFonts w:ascii="Calibri" w:hAnsi="Calibri"/>
                <w:color w:val="000000"/>
              </w:rPr>
              <w:t>11.52470522</w:t>
            </w:r>
          </w:p>
        </w:tc>
      </w:tr>
      <w:tr w:rsidR="006F3F3A" w:rsidTr="006F3F3A">
        <w:tc>
          <w:tcPr>
            <w:tcW w:w="2394" w:type="dxa"/>
          </w:tcPr>
          <w:p w:rsidR="006F3F3A" w:rsidRPr="006F3F3A" w:rsidRDefault="006F3F3A" w:rsidP="006F3F3A">
            <w:pPr>
              <w:rPr>
                <w:rFonts w:ascii="Calibri" w:hAnsi="Calibri"/>
                <w:b/>
                <w:color w:val="000000"/>
              </w:rPr>
            </w:pPr>
            <w:r w:rsidRPr="006F3F3A">
              <w:rPr>
                <w:rFonts w:ascii="Calibri" w:hAnsi="Calibri"/>
                <w:b/>
                <w:color w:val="000000"/>
              </w:rPr>
              <w:t>10Nlg10N/</w:t>
            </w:r>
            <w:proofErr w:type="spellStart"/>
            <w:r w:rsidRPr="006F3F3A">
              <w:rPr>
                <w:rFonts w:ascii="Calibri" w:hAnsi="Calibri"/>
                <w:b/>
                <w:color w:val="000000"/>
              </w:rPr>
              <w:t>NlgN</w:t>
            </w:r>
            <w:proofErr w:type="spellEnd"/>
          </w:p>
        </w:tc>
        <w:tc>
          <w:tcPr>
            <w:tcW w:w="2394" w:type="dxa"/>
            <w:vAlign w:val="bottom"/>
          </w:tcPr>
          <w:p w:rsidR="006F3F3A" w:rsidRDefault="006F3F3A">
            <w:pPr>
              <w:jc w:val="right"/>
              <w:rPr>
                <w:rFonts w:ascii="Calibri" w:hAnsi="Calibri"/>
                <w:color w:val="000000"/>
              </w:rPr>
            </w:pPr>
            <w:r>
              <w:rPr>
                <w:rFonts w:ascii="Calibri" w:hAnsi="Calibri"/>
                <w:color w:val="000000"/>
              </w:rPr>
              <w:t>13.33333</w:t>
            </w:r>
          </w:p>
        </w:tc>
        <w:tc>
          <w:tcPr>
            <w:tcW w:w="2394" w:type="dxa"/>
            <w:vAlign w:val="bottom"/>
          </w:tcPr>
          <w:p w:rsidR="006F3F3A" w:rsidRDefault="006F3F3A">
            <w:pPr>
              <w:jc w:val="right"/>
              <w:rPr>
                <w:rFonts w:ascii="Calibri" w:hAnsi="Calibri"/>
                <w:color w:val="000000"/>
              </w:rPr>
            </w:pPr>
            <w:r>
              <w:rPr>
                <w:rFonts w:ascii="Calibri" w:hAnsi="Calibri"/>
                <w:color w:val="000000"/>
              </w:rPr>
              <w:t>12.5</w:t>
            </w:r>
          </w:p>
        </w:tc>
        <w:tc>
          <w:tcPr>
            <w:tcW w:w="2394" w:type="dxa"/>
            <w:vAlign w:val="bottom"/>
          </w:tcPr>
          <w:p w:rsidR="006F3F3A" w:rsidRDefault="006F3F3A">
            <w:pPr>
              <w:jc w:val="right"/>
              <w:rPr>
                <w:rFonts w:ascii="Calibri" w:hAnsi="Calibri"/>
                <w:color w:val="000000"/>
              </w:rPr>
            </w:pPr>
            <w:r>
              <w:rPr>
                <w:rFonts w:ascii="Calibri" w:hAnsi="Calibri"/>
                <w:color w:val="000000"/>
              </w:rPr>
              <w:t>12</w:t>
            </w:r>
          </w:p>
        </w:tc>
      </w:tr>
    </w:tbl>
    <w:p w:rsidR="006F3F3A" w:rsidRDefault="006F3F3A" w:rsidP="003D2859">
      <w:pPr>
        <w:spacing w:line="312" w:lineRule="auto"/>
        <w:contextualSpacing/>
        <w:rPr>
          <w:rFonts w:eastAsiaTheme="minorEastAsia"/>
        </w:rPr>
      </w:pPr>
    </w:p>
    <w:p w:rsidR="006F3F3A" w:rsidRDefault="006F3F3A" w:rsidP="003D2859">
      <w:pPr>
        <w:spacing w:line="312" w:lineRule="auto"/>
        <w:contextualSpacing/>
        <w:rPr>
          <w:rFonts w:eastAsiaTheme="minorEastAsia"/>
        </w:rPr>
      </w:pPr>
      <w:r w:rsidRPr="006F3F3A">
        <w:rPr>
          <w:rFonts w:eastAsiaTheme="minorEastAsia"/>
        </w:rPr>
        <w:drawing>
          <wp:inline distT="0" distB="0" distL="0" distR="0">
            <wp:extent cx="5876925" cy="2819401"/>
            <wp:effectExtent l="1905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61FBC" w:rsidRPr="009B1B20" w:rsidRDefault="00061FBC" w:rsidP="003D2859">
      <w:pPr>
        <w:spacing w:line="312" w:lineRule="auto"/>
        <w:contextualSpacing/>
        <w:rPr>
          <w:rFonts w:eastAsiaTheme="minorEastAsia"/>
        </w:rPr>
      </w:pPr>
      <w:r>
        <w:rPr>
          <w:rFonts w:eastAsiaTheme="minorEastAsia"/>
        </w:rPr>
        <w:t>As show in the graph above both functions are decreasing and appear to be leveling off as they approach ten.  The line for the actual implementation does not exactly follow the expected graph but is fairly close and the difference may be attributed to the difficulty associated with timing precision.</w:t>
      </w:r>
    </w:p>
    <w:sectPr w:rsidR="00061FBC" w:rsidRPr="009B1B20" w:rsidSect="00CB71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2445F"/>
    <w:rsid w:val="00061FBC"/>
    <w:rsid w:val="000C6EFE"/>
    <w:rsid w:val="000E05FD"/>
    <w:rsid w:val="000F42BD"/>
    <w:rsid w:val="00123B63"/>
    <w:rsid w:val="001E280F"/>
    <w:rsid w:val="002D231B"/>
    <w:rsid w:val="00343CCD"/>
    <w:rsid w:val="003578A9"/>
    <w:rsid w:val="00396D4F"/>
    <w:rsid w:val="003B2663"/>
    <w:rsid w:val="003D026D"/>
    <w:rsid w:val="003D2859"/>
    <w:rsid w:val="00405DD6"/>
    <w:rsid w:val="00476981"/>
    <w:rsid w:val="00527FAD"/>
    <w:rsid w:val="00593F43"/>
    <w:rsid w:val="006704C7"/>
    <w:rsid w:val="006F3F3A"/>
    <w:rsid w:val="007A769B"/>
    <w:rsid w:val="00895A50"/>
    <w:rsid w:val="008B7CE6"/>
    <w:rsid w:val="00992CA8"/>
    <w:rsid w:val="0099770D"/>
    <w:rsid w:val="009B1B20"/>
    <w:rsid w:val="009D3A67"/>
    <w:rsid w:val="00A2134A"/>
    <w:rsid w:val="00A2445F"/>
    <w:rsid w:val="00AD55BF"/>
    <w:rsid w:val="00B439BF"/>
    <w:rsid w:val="00B44D1A"/>
    <w:rsid w:val="00BD776F"/>
    <w:rsid w:val="00C436BF"/>
    <w:rsid w:val="00C514C0"/>
    <w:rsid w:val="00C92ED5"/>
    <w:rsid w:val="00CB7134"/>
    <w:rsid w:val="00CC2B85"/>
    <w:rsid w:val="00E3526C"/>
    <w:rsid w:val="00ED63A5"/>
    <w:rsid w:val="00F55CAF"/>
    <w:rsid w:val="00FF3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C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FAD"/>
    <w:rPr>
      <w:color w:val="808080"/>
    </w:rPr>
  </w:style>
  <w:style w:type="paragraph" w:styleId="BalloonText">
    <w:name w:val="Balloon Text"/>
    <w:basedOn w:val="Normal"/>
    <w:link w:val="BalloonTextChar"/>
    <w:uiPriority w:val="99"/>
    <w:semiHidden/>
    <w:unhideWhenUsed/>
    <w:rsid w:val="00527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FAD"/>
    <w:rPr>
      <w:rFonts w:ascii="Tahoma" w:hAnsi="Tahoma" w:cs="Tahoma"/>
      <w:sz w:val="16"/>
      <w:szCs w:val="16"/>
    </w:rPr>
  </w:style>
  <w:style w:type="table" w:styleId="TableGrid">
    <w:name w:val="Table Grid"/>
    <w:basedOn w:val="TableNormal"/>
    <w:uiPriority w:val="59"/>
    <w:rsid w:val="000E05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220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Documents\Rando\School\Fall%202015\Algorithms\P2\bjh2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Documents\Rando\School\Fall%202015\Algorithms\P2\bjh2C.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Documents\Rando\School\Fall%202015\Algorithms\P2\bjh2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Heap Sort Total Time</a:t>
            </a:r>
          </a:p>
        </c:rich>
      </c:tx>
    </c:title>
    <c:plotArea>
      <c:layout/>
      <c:scatterChart>
        <c:scatterStyle val="smoothMarker"/>
        <c:ser>
          <c:idx val="1"/>
          <c:order val="0"/>
          <c:tx>
            <c:v>Total Time</c:v>
          </c:tx>
          <c:spPr>
            <a:ln>
              <a:solidFill>
                <a:schemeClr val="tx1"/>
              </a:solidFill>
            </a:ln>
          </c:spPr>
          <c:marker>
            <c:spPr>
              <a:solidFill>
                <a:srgbClr val="FF0000"/>
              </a:solidFill>
              <a:ln>
                <a:solidFill>
                  <a:schemeClr val="tx1"/>
                </a:solidFill>
              </a:ln>
            </c:spPr>
          </c:marker>
          <c:xVal>
            <c:numRef>
              <c:f>Sheet1!$B$2:$E$2</c:f>
              <c:numCache>
                <c:formatCode>General</c:formatCode>
                <c:ptCount val="4"/>
                <c:pt idx="0">
                  <c:v>1000</c:v>
                </c:pt>
                <c:pt idx="1">
                  <c:v>10000</c:v>
                </c:pt>
                <c:pt idx="2">
                  <c:v>100000</c:v>
                </c:pt>
                <c:pt idx="3">
                  <c:v>1000000</c:v>
                </c:pt>
              </c:numCache>
            </c:numRef>
          </c:xVal>
          <c:yVal>
            <c:numRef>
              <c:f>Sheet1!$B$4:$E$4</c:f>
              <c:numCache>
                <c:formatCode>General</c:formatCode>
                <c:ptCount val="4"/>
                <c:pt idx="0">
                  <c:v>1.8000000000000004E-3</c:v>
                </c:pt>
                <c:pt idx="1">
                  <c:v>2.6800000000000004E-2</c:v>
                </c:pt>
                <c:pt idx="2">
                  <c:v>0.35620000000000002</c:v>
                </c:pt>
                <c:pt idx="3">
                  <c:v>4.1050999999999993</c:v>
                </c:pt>
              </c:numCache>
            </c:numRef>
          </c:yVal>
          <c:smooth val="1"/>
        </c:ser>
        <c:axId val="95612288"/>
        <c:axId val="95764480"/>
      </c:scatterChart>
      <c:valAx>
        <c:axId val="95612288"/>
        <c:scaling>
          <c:orientation val="minMax"/>
          <c:max val="1100000"/>
          <c:min val="0"/>
        </c:scaling>
        <c:axPos val="b"/>
        <c:title>
          <c:tx>
            <c:rich>
              <a:bodyPr/>
              <a:lstStyle/>
              <a:p>
                <a:pPr>
                  <a:defRPr/>
                </a:pPr>
                <a:r>
                  <a:rPr lang="en-US"/>
                  <a:t>N</a:t>
                </a:r>
              </a:p>
            </c:rich>
          </c:tx>
        </c:title>
        <c:numFmt formatCode="General" sourceLinked="1"/>
        <c:majorTickMark val="none"/>
        <c:tickLblPos val="nextTo"/>
        <c:crossAx val="95764480"/>
        <c:crosses val="autoZero"/>
        <c:crossBetween val="midCat"/>
      </c:valAx>
      <c:valAx>
        <c:axId val="95764480"/>
        <c:scaling>
          <c:orientation val="minMax"/>
          <c:max val="4.5"/>
          <c:min val="0"/>
        </c:scaling>
        <c:axPos val="l"/>
        <c:majorGridlines/>
        <c:title>
          <c:tx>
            <c:rich>
              <a:bodyPr/>
              <a:lstStyle/>
              <a:p>
                <a:pPr>
                  <a:defRPr/>
                </a:pPr>
                <a:r>
                  <a:rPr lang="en-US"/>
                  <a:t>Run Time</a:t>
                </a:r>
                <a:r>
                  <a:rPr lang="en-US" baseline="0"/>
                  <a:t> (seconds)</a:t>
                </a:r>
                <a:endParaRPr lang="en-US"/>
              </a:p>
            </c:rich>
          </c:tx>
        </c:title>
        <c:numFmt formatCode="General" sourceLinked="1"/>
        <c:majorTickMark val="none"/>
        <c:tickLblPos val="nextTo"/>
        <c:crossAx val="9561228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Build Heap Time</a:t>
            </a:r>
          </a:p>
        </c:rich>
      </c:tx>
    </c:title>
    <c:plotArea>
      <c:layout/>
      <c:scatterChart>
        <c:scatterStyle val="smoothMarker"/>
        <c:ser>
          <c:idx val="1"/>
          <c:order val="0"/>
          <c:tx>
            <c:v>Build Heap</c:v>
          </c:tx>
          <c:spPr>
            <a:ln>
              <a:solidFill>
                <a:schemeClr val="tx1"/>
              </a:solidFill>
            </a:ln>
          </c:spPr>
          <c:marker>
            <c:spPr>
              <a:solidFill>
                <a:srgbClr val="FF0000"/>
              </a:solidFill>
              <a:ln>
                <a:solidFill>
                  <a:schemeClr val="tx1"/>
                </a:solidFill>
              </a:ln>
            </c:spPr>
          </c:marker>
          <c:xVal>
            <c:numRef>
              <c:f>Sheet1!$B$2:$E$2</c:f>
              <c:numCache>
                <c:formatCode>General</c:formatCode>
                <c:ptCount val="4"/>
                <c:pt idx="0">
                  <c:v>1000</c:v>
                </c:pt>
                <c:pt idx="1">
                  <c:v>10000</c:v>
                </c:pt>
                <c:pt idx="2">
                  <c:v>100000</c:v>
                </c:pt>
                <c:pt idx="3">
                  <c:v>1000000</c:v>
                </c:pt>
              </c:numCache>
            </c:numRef>
          </c:xVal>
          <c:yVal>
            <c:numRef>
              <c:f>Sheet1!$B$3:$E$3</c:f>
              <c:numCache>
                <c:formatCode>General</c:formatCode>
                <c:ptCount val="4"/>
                <c:pt idx="0">
                  <c:v>3.0000000000000003E-4</c:v>
                </c:pt>
                <c:pt idx="1">
                  <c:v>1.8000000000000004E-3</c:v>
                </c:pt>
                <c:pt idx="2">
                  <c:v>1.6400000000000001E-2</c:v>
                </c:pt>
                <c:pt idx="3">
                  <c:v>0.20730000000000001</c:v>
                </c:pt>
              </c:numCache>
            </c:numRef>
          </c:yVal>
          <c:smooth val="1"/>
        </c:ser>
        <c:axId val="96716288"/>
        <c:axId val="106766720"/>
      </c:scatterChart>
      <c:valAx>
        <c:axId val="96716288"/>
        <c:scaling>
          <c:orientation val="minMax"/>
          <c:max val="1100000"/>
          <c:min val="0"/>
        </c:scaling>
        <c:axPos val="b"/>
        <c:title>
          <c:tx>
            <c:rich>
              <a:bodyPr/>
              <a:lstStyle/>
              <a:p>
                <a:pPr>
                  <a:defRPr/>
                </a:pPr>
                <a:r>
                  <a:rPr lang="en-US"/>
                  <a:t>N</a:t>
                </a:r>
              </a:p>
            </c:rich>
          </c:tx>
        </c:title>
        <c:numFmt formatCode="General" sourceLinked="1"/>
        <c:majorTickMark val="none"/>
        <c:tickLblPos val="nextTo"/>
        <c:crossAx val="106766720"/>
        <c:crosses val="autoZero"/>
        <c:crossBetween val="midCat"/>
      </c:valAx>
      <c:valAx>
        <c:axId val="106766720"/>
        <c:scaling>
          <c:orientation val="minMax"/>
          <c:max val="0.25"/>
          <c:min val="0"/>
        </c:scaling>
        <c:axPos val="l"/>
        <c:majorGridlines/>
        <c:title>
          <c:tx>
            <c:rich>
              <a:bodyPr/>
              <a:lstStyle/>
              <a:p>
                <a:pPr>
                  <a:defRPr/>
                </a:pPr>
                <a:r>
                  <a:rPr lang="en-US"/>
                  <a:t>Run Time (seconds)</a:t>
                </a:r>
              </a:p>
            </c:rich>
          </c:tx>
        </c:title>
        <c:numFmt formatCode="General" sourceLinked="1"/>
        <c:majorTickMark val="none"/>
        <c:tickLblPos val="nextTo"/>
        <c:crossAx val="96716288"/>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F(10N)/F(N)</a:t>
            </a:r>
            <a:r>
              <a:rPr lang="en-US" baseline="0"/>
              <a:t> vs 10Nlg10N/NlgN</a:t>
            </a:r>
            <a:endParaRPr lang="en-US"/>
          </a:p>
        </c:rich>
      </c:tx>
    </c:title>
    <c:plotArea>
      <c:layout/>
      <c:scatterChart>
        <c:scatterStyle val="smoothMarker"/>
        <c:ser>
          <c:idx val="1"/>
          <c:order val="0"/>
          <c:tx>
            <c:v>F(10N)/F(N)</c:v>
          </c:tx>
          <c:spPr>
            <a:ln>
              <a:solidFill>
                <a:prstClr val="black"/>
              </a:solidFill>
            </a:ln>
          </c:spPr>
          <c:marker>
            <c:spPr>
              <a:solidFill>
                <a:srgbClr val="FF0000"/>
              </a:solidFill>
              <a:ln>
                <a:solidFill>
                  <a:prstClr val="black"/>
                </a:solidFill>
              </a:ln>
            </c:spPr>
          </c:marker>
          <c:xVal>
            <c:numLit>
              <c:formatCode>General</c:formatCode>
              <c:ptCount val="3"/>
              <c:pt idx="0">
                <c:v>1</c:v>
              </c:pt>
              <c:pt idx="1">
                <c:v>2</c:v>
              </c:pt>
              <c:pt idx="2">
                <c:v>3</c:v>
              </c:pt>
            </c:numLit>
          </c:xVal>
          <c:yVal>
            <c:numRef>
              <c:f>Sheet1!$G$4:$I$4</c:f>
              <c:numCache>
                <c:formatCode>General</c:formatCode>
                <c:ptCount val="3"/>
                <c:pt idx="0">
                  <c:v>14.888888888888889</c:v>
                </c:pt>
                <c:pt idx="1">
                  <c:v>13.291044776119403</c:v>
                </c:pt>
                <c:pt idx="2">
                  <c:v>11.524705221785513</c:v>
                </c:pt>
              </c:numCache>
            </c:numRef>
          </c:yVal>
          <c:smooth val="1"/>
        </c:ser>
        <c:ser>
          <c:idx val="0"/>
          <c:order val="1"/>
          <c:tx>
            <c:v>10Nlg10N / NlgN</c:v>
          </c:tx>
          <c:spPr>
            <a:ln>
              <a:solidFill>
                <a:srgbClr val="FF0000"/>
              </a:solidFill>
            </a:ln>
          </c:spPr>
          <c:marker>
            <c:spPr>
              <a:solidFill>
                <a:schemeClr val="tx1"/>
              </a:solidFill>
              <a:ln>
                <a:solidFill>
                  <a:srgbClr val="FF0000"/>
                </a:solidFill>
              </a:ln>
            </c:spPr>
          </c:marker>
          <c:xVal>
            <c:numLit>
              <c:formatCode>General</c:formatCode>
              <c:ptCount val="3"/>
              <c:pt idx="0">
                <c:v>1</c:v>
              </c:pt>
              <c:pt idx="1">
                <c:v>2</c:v>
              </c:pt>
              <c:pt idx="2">
                <c:v>3</c:v>
              </c:pt>
            </c:numLit>
          </c:xVal>
          <c:yVal>
            <c:numRef>
              <c:f>Sheet1!$D$8:$D$10</c:f>
              <c:numCache>
                <c:formatCode>General</c:formatCode>
                <c:ptCount val="3"/>
                <c:pt idx="0">
                  <c:v>13.333333333333334</c:v>
                </c:pt>
                <c:pt idx="1">
                  <c:v>12.5</c:v>
                </c:pt>
                <c:pt idx="2">
                  <c:v>12.000000602060009</c:v>
                </c:pt>
              </c:numCache>
            </c:numRef>
          </c:yVal>
          <c:smooth val="1"/>
        </c:ser>
        <c:axId val="107511168"/>
        <c:axId val="107856256"/>
      </c:scatterChart>
      <c:valAx>
        <c:axId val="107511168"/>
        <c:scaling>
          <c:orientation val="minMax"/>
          <c:max val="3.5"/>
          <c:min val="1"/>
        </c:scaling>
        <c:axPos val="b"/>
        <c:title>
          <c:tx>
            <c:rich>
              <a:bodyPr/>
              <a:lstStyle/>
              <a:p>
                <a:pPr>
                  <a:defRPr/>
                </a:pPr>
                <a:r>
                  <a:rPr lang="en-US"/>
                  <a:t>10N/N</a:t>
                </a:r>
                <a:r>
                  <a:rPr lang="en-US" baseline="0"/>
                  <a:t> (each value is 10)</a:t>
                </a:r>
                <a:endParaRPr lang="en-US"/>
              </a:p>
            </c:rich>
          </c:tx>
        </c:title>
        <c:numFmt formatCode="General" sourceLinked="1"/>
        <c:majorTickMark val="none"/>
        <c:tickLblPos val="nextTo"/>
        <c:crossAx val="107856256"/>
        <c:crosses val="autoZero"/>
        <c:crossBetween val="midCat"/>
        <c:majorUnit val="1"/>
      </c:valAx>
      <c:valAx>
        <c:axId val="107856256"/>
        <c:scaling>
          <c:orientation val="minMax"/>
          <c:max val="16"/>
          <c:min val="9"/>
        </c:scaling>
        <c:axPos val="l"/>
        <c:majorGridlines/>
        <c:title>
          <c:tx>
            <c:rich>
              <a:bodyPr/>
              <a:lstStyle/>
              <a:p>
                <a:pPr>
                  <a:defRPr/>
                </a:pPr>
                <a:r>
                  <a:rPr lang="en-US"/>
                  <a:t>F(10N)/N</a:t>
                </a:r>
              </a:p>
            </c:rich>
          </c:tx>
        </c:title>
        <c:numFmt formatCode="General" sourceLinked="1"/>
        <c:majorTickMark val="none"/>
        <c:tickLblPos val="nextTo"/>
        <c:crossAx val="107511168"/>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53</cp:revision>
  <dcterms:created xsi:type="dcterms:W3CDTF">2015-10-31T19:10:00Z</dcterms:created>
  <dcterms:modified xsi:type="dcterms:W3CDTF">2015-11-01T20:01:00Z</dcterms:modified>
</cp:coreProperties>
</file>