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LEGAL PACK</w:t>
      </w:r>
    </w:p>
    <w:p>
      <w:pPr>
        <w:spacing w:after="200"/>
        <w:jc w:val="center"/>
      </w:pPr>
      <w:r>
        <w:rPr>
          <w:color w:val="666666"/>
          <w:sz w:val="24"/>
          <w:szCs w:val="24"/>
        </w:rPr>
        <w:t xml:space="preserve">Documentation Summary &amp; Implementation Guide</w:t>
      </w:r>
    </w:p>
    <w:p>
      <w:pPr>
        <w:spacing w:after="600"/>
        <w:jc w:val="center"/>
      </w:pPr>
      <w:r>
        <w:rPr>
          <w:i/>
          <w:iCs/>
          <w:sz w:val="20"/>
          <w:szCs w:val="20"/>
        </w:rPr>
        <w:t xml:space="preserve">CRUSH DIGITAL ATELIER LLC — Fastlane WaaS</w:t>
      </w:r>
    </w:p>
    <w:p>
      <w:pPr>
        <w:pStyle w:val="Heading1"/>
      </w:pPr>
      <w:r>
        <w:t xml:space="preserve">PACK OVERVIEW</w:t>
      </w:r>
    </w:p>
    <w:p>
      <w:pPr>
        <w:spacing w:after="200"/>
      </w:pPr>
      <w:r>
        <w:t xml:space="preserve">This legal pack contains all the documents necessary to operate Fastlane as a compliant US-based WaaS (Website as a Service) business. All documents are designed to maximize legal protection while remaining clear and professional.</w:t>
      </w:r>
    </w:p>
    <w:p>
      <w:pPr>
        <w:pStyle w:val="Heading2"/>
      </w:pPr>
      <w:r>
        <w:t xml:space="preserve">Documents Included</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Pr>
          <w:p>
            <w:r>
              <w:rPr>
                <w:b/>
                <w:bCs/>
                <w:color w:val="FFFFFF"/>
              </w:rPr>
              <w:t xml:space="preserve">Document</w:t>
            </w:r>
          </w:p>
        </w:tc>
        <w:tc>
          <w:tcPr>
            <w:tcW w:type="dxa" w:w="6360"/>
            <w:tcBorders>
              <w:top w:val="single" w:color="CCCCCC" w:sz="1"/>
              <w:left w:val="single" w:color="CCCCCC" w:sz="1"/>
              <w:bottom w:val="single" w:color="CCCCCC" w:sz="1"/>
              <w:right w:val="single" w:color="CCCCCC" w:sz="1"/>
            </w:tcBorders>
            <w:shd w:fill="1a1a1a" w:val="clear"/>
          </w:tcPr>
          <w:p>
            <w:r>
              <w:rPr>
                <w:b/>
                <w:bCs/>
                <w:color w:val="FFFFFF"/>
              </w:rPr>
              <w:t xml:space="preserve">Purpose</w:t>
            </w:r>
          </w:p>
        </w:tc>
      </w:tr>
      <w:tr>
        <w:tc>
          <w:tcPr>
            <w:tcW w:type="dxa" w:w="3000"/>
            <w:tcBorders>
              <w:top w:val="single" w:color="CCCCCC" w:sz="1"/>
              <w:left w:val="single" w:color="CCCCCC" w:sz="1"/>
              <w:bottom w:val="single" w:color="CCCCCC" w:sz="1"/>
              <w:right w:val="single" w:color="CCCCCC" w:sz="1"/>
            </w:tcBorders>
          </w:tcPr>
          <w:p>
            <w:r>
              <w:rPr>
                <w:b/>
                <w:bCs/>
              </w:rPr>
              <w:t xml:space="preserve">Terms of Service</w:t>
            </w:r>
          </w:p>
        </w:tc>
        <w:tc>
          <w:tcPr>
            <w:tcW w:type="dxa" w:w="6360"/>
            <w:tcBorders>
              <w:top w:val="single" w:color="CCCCCC" w:sz="1"/>
              <w:left w:val="single" w:color="CCCCCC" w:sz="1"/>
              <w:bottom w:val="single" w:color="CCCCCC" w:sz="1"/>
              <w:right w:val="single" w:color="CCCCCC" w:sz="1"/>
            </w:tcBorders>
          </w:tcPr>
          <w:p>
            <w:r>
              <w:t xml:space="preserve">Main contract — defines subscription, license, liability limits, arbitration, content responsibility</w:t>
            </w:r>
          </w:p>
        </w:tc>
      </w:tr>
      <w:tr>
        <w:tc>
          <w:tcPr>
            <w:tcW w:type="dxa" w:w="3000"/>
            <w:tcBorders>
              <w:top w:val="single" w:color="CCCCCC" w:sz="1"/>
              <w:left w:val="single" w:color="CCCCCC" w:sz="1"/>
              <w:bottom w:val="single" w:color="CCCCCC" w:sz="1"/>
              <w:right w:val="single" w:color="CCCCCC" w:sz="1"/>
            </w:tcBorders>
          </w:tcPr>
          <w:p>
            <w:r>
              <w:rPr>
                <w:b/>
                <w:bCs/>
              </w:rPr>
              <w:t xml:space="preserve">Privacy Policy</w:t>
            </w:r>
          </w:p>
        </w:tc>
        <w:tc>
          <w:tcPr>
            <w:tcW w:type="dxa" w:w="6360"/>
            <w:tcBorders>
              <w:top w:val="single" w:color="CCCCCC" w:sz="1"/>
              <w:left w:val="single" w:color="CCCCCC" w:sz="1"/>
              <w:bottom w:val="single" w:color="CCCCCC" w:sz="1"/>
              <w:right w:val="single" w:color="CCCCCC" w:sz="1"/>
            </w:tcBorders>
          </w:tcPr>
          <w:p>
            <w:r>
              <w:t xml:space="preserve">Data collection &amp; handling — CCPA compliant, covers cookies, retention, user rights</w:t>
            </w:r>
          </w:p>
        </w:tc>
      </w:tr>
      <w:tr>
        <w:tc>
          <w:tcPr>
            <w:tcW w:type="dxa" w:w="3000"/>
            <w:tcBorders>
              <w:top w:val="single" w:color="CCCCCC" w:sz="1"/>
              <w:left w:val="single" w:color="CCCCCC" w:sz="1"/>
              <w:bottom w:val="single" w:color="CCCCCC" w:sz="1"/>
              <w:right w:val="single" w:color="CCCCCC" w:sz="1"/>
            </w:tcBorders>
          </w:tcPr>
          <w:p>
            <w:r>
              <w:rPr>
                <w:b/>
                <w:bCs/>
              </w:rPr>
              <w:t xml:space="preserve">Acceptable Use Policy</w:t>
            </w:r>
          </w:p>
        </w:tc>
        <w:tc>
          <w:tcPr>
            <w:tcW w:type="dxa" w:w="6360"/>
            <w:tcBorders>
              <w:top w:val="single" w:color="CCCCCC" w:sz="1"/>
              <w:left w:val="single" w:color="CCCCCC" w:sz="1"/>
              <w:bottom w:val="single" w:color="CCCCCC" w:sz="1"/>
              <w:right w:val="single" w:color="CCCCCC" w:sz="1"/>
            </w:tcBorders>
          </w:tcPr>
          <w:p>
            <w:r>
              <w:t xml:space="preserve">Content rules — prohibited content &amp; activities, enforcement procedures</w:t>
            </w:r>
          </w:p>
        </w:tc>
      </w:tr>
      <w:tr>
        <w:tc>
          <w:tcPr>
            <w:tcW w:type="dxa" w:w="3000"/>
            <w:tcBorders>
              <w:top w:val="single" w:color="CCCCCC" w:sz="1"/>
              <w:left w:val="single" w:color="CCCCCC" w:sz="1"/>
              <w:bottom w:val="single" w:color="CCCCCC" w:sz="1"/>
              <w:right w:val="single" w:color="CCCCCC" w:sz="1"/>
            </w:tcBorders>
          </w:tcPr>
          <w:p>
            <w:r>
              <w:rPr>
                <w:b/>
                <w:bCs/>
              </w:rPr>
              <w:t xml:space="preserve">Client FAQ</w:t>
            </w:r>
          </w:p>
        </w:tc>
        <w:tc>
          <w:tcPr>
            <w:tcW w:type="dxa" w:w="6360"/>
            <w:tcBorders>
              <w:top w:val="single" w:color="CCCCCC" w:sz="1"/>
              <w:left w:val="single" w:color="CCCCCC" w:sz="1"/>
              <w:bottom w:val="single" w:color="CCCCCC" w:sz="1"/>
              <w:right w:val="single" w:color="CCCCCC" w:sz="1"/>
            </w:tcBorders>
          </w:tcPr>
          <w:p>
            <w:r>
              <w:t xml:space="preserve">Client-facing Q&amp;A — plain language summary of key policies, expectations</w:t>
            </w:r>
          </w:p>
        </w:tc>
      </w:tr>
    </w:tbl>
    <w:p>
      <w:pPr>
        <w:pStyle w:val="Heading1"/>
      </w:pPr>
      <w:r>
        <w:t xml:space="preserve">KEY PROTECTIONS IMPLEMENTED</w:t>
      </w:r>
    </w:p>
    <w:p>
      <w:pPr>
        <w:pStyle w:val="Heading2"/>
      </w:pPr>
      <w:r>
        <w:t xml:space="preserve">1. Content Responsibility</w:t>
      </w:r>
    </w:p>
    <w:p>
      <w:pPr>
        <w:spacing w:after="100"/>
      </w:pPr>
      <w:r>
        <w:rPr>
          <w:b/>
          <w:bCs/>
        </w:rPr>
        <w:t xml:space="preserve">You are fully protected against:</w:t>
      </w:r>
    </w:p>
    <w:p>
      <w:pPr>
        <w:pStyle w:val="ListParagraph"/>
        <w:numPr>
          <w:ilvl w:val="0"/>
          <w:numId w:val="2"/>
        </w:numPr>
      </w:pPr>
      <w:r>
        <w:t xml:space="preserve">Faulty legal notices provided by client</w:t>
      </w:r>
    </w:p>
    <w:p>
      <w:pPr>
        <w:pStyle w:val="ListParagraph"/>
        <w:numPr>
          <w:ilvl w:val="0"/>
          <w:numId w:val="2"/>
        </w:numPr>
      </w:pPr>
      <w:r>
        <w:t xml:space="preserve">Non-compliant privacy policies</w:t>
      </w:r>
    </w:p>
    <w:p>
      <w:pPr>
        <w:pStyle w:val="ListParagraph"/>
        <w:numPr>
          <w:ilvl w:val="0"/>
          <w:numId w:val="2"/>
        </w:numPr>
      </w:pPr>
      <w:r>
        <w:t xml:space="preserve">Copyright issues in client content</w:t>
      </w:r>
    </w:p>
    <w:p>
      <w:pPr>
        <w:pStyle w:val="ListParagraph"/>
        <w:numPr>
          <w:ilvl w:val="0"/>
          <w:numId w:val="2"/>
        </w:numPr>
      </w:pPr>
      <w:r>
        <w:t xml:space="preserve">False claims or misleading information</w:t>
      </w:r>
    </w:p>
    <w:p>
      <w:pPr>
        <w:pStyle w:val="ListParagraph"/>
        <w:numPr>
          <w:ilvl w:val="0"/>
          <w:numId w:val="2"/>
        </w:numPr>
        <w:spacing w:after="200"/>
      </w:pPr>
      <w:r>
        <w:t xml:space="preserve">Trademark infringement</w:t>
      </w:r>
    </w:p>
    <w:p>
      <w:pPr>
        <w:pStyle w:val="Heading2"/>
      </w:pPr>
      <w:r>
        <w:t xml:space="preserve">2. No Legal/Compliance Advice</w:t>
      </w:r>
    </w:p>
    <w:p>
      <w:pPr>
        <w:spacing w:after="100"/>
      </w:pPr>
      <w:r>
        <w:t xml:space="preserve">Clear disclaimers protect you when clients operate in:</w:t>
      </w:r>
    </w:p>
    <w:p>
      <w:pPr>
        <w:pStyle w:val="ListParagraph"/>
        <w:numPr>
          <w:ilvl w:val="0"/>
          <w:numId w:val="2"/>
        </w:numPr>
      </w:pPr>
      <w:r>
        <w:t xml:space="preserve">Healthcare (HIPAA, FDA)</w:t>
      </w:r>
    </w:p>
    <w:p>
      <w:pPr>
        <w:pStyle w:val="ListParagraph"/>
        <w:numPr>
          <w:ilvl w:val="0"/>
          <w:numId w:val="2"/>
        </w:numPr>
      </w:pPr>
      <w:r>
        <w:t xml:space="preserve">Finance (SEC, FINRA)</w:t>
      </w:r>
    </w:p>
    <w:p>
      <w:pPr>
        <w:pStyle w:val="ListParagraph"/>
        <w:numPr>
          <w:ilvl w:val="0"/>
          <w:numId w:val="2"/>
        </w:numPr>
      </w:pPr>
      <w:r>
        <w:t xml:space="preserve">Real estate</w:t>
      </w:r>
    </w:p>
    <w:p>
      <w:pPr>
        <w:pStyle w:val="ListParagraph"/>
        <w:numPr>
          <w:ilvl w:val="0"/>
          <w:numId w:val="2"/>
        </w:numPr>
      </w:pPr>
      <w:r>
        <w:t xml:space="preserve">Legal services</w:t>
      </w:r>
    </w:p>
    <w:p>
      <w:pPr>
        <w:pStyle w:val="ListParagraph"/>
        <w:numPr>
          <w:ilvl w:val="0"/>
          <w:numId w:val="2"/>
        </w:numPr>
      </w:pPr>
      <w:r>
        <w:t xml:space="preserve">E-commerce</w:t>
      </w:r>
    </w:p>
    <w:p>
      <w:pPr>
        <w:pStyle w:val="ListParagraph"/>
        <w:numPr>
          <w:ilvl w:val="0"/>
          <w:numId w:val="2"/>
        </w:numPr>
        <w:spacing w:after="200"/>
      </w:pPr>
      <w:r>
        <w:t xml:space="preserve">Any regulated industry</w:t>
      </w:r>
    </w:p>
    <w:p>
      <w:pPr>
        <w:pStyle w:val="Heading2"/>
      </w:pPr>
      <w:r>
        <w:t xml:space="preserve">3. No Results Guarantees</w:t>
      </w:r>
    </w:p>
    <w:p>
      <w:pPr>
        <w:spacing w:after="200"/>
      </w:pPr>
      <w:r>
        <w:t xml:space="preserve">Explicit disclaimers against promises of traffic, SEO rankings, conversions, or business outcomes. You guarantee </w:t>
      </w:r>
      <w:r>
        <w:rPr>
          <w:b/>
          <w:bCs/>
        </w:rPr>
        <w:t xml:space="preserve">delivery and quality</w:t>
      </w:r>
      <w:r>
        <w:t xml:space="preserve"> — not marketing results.</w:t>
      </w:r>
    </w:p>
    <w:p>
      <w:pPr>
        <w:pStyle w:val="Heading2"/>
      </w:pPr>
      <w:r>
        <w:t xml:space="preserve">4. Liability Limitations</w:t>
      </w:r>
    </w:p>
    <w:p>
      <w:pPr>
        <w:spacing w:after="100"/>
      </w:pPr>
      <w:r>
        <w:t xml:space="preserve">Comprehensive exclusions cover:</w:t>
      </w:r>
    </w:p>
    <w:p>
      <w:pPr>
        <w:pStyle w:val="ListParagraph"/>
        <w:numPr>
          <w:ilvl w:val="0"/>
          <w:numId w:val="2"/>
        </w:numPr>
      </w:pPr>
      <w:r>
        <w:t xml:space="preserve">Lost profits and revenue</w:t>
      </w:r>
    </w:p>
    <w:p>
      <w:pPr>
        <w:pStyle w:val="ListParagraph"/>
        <w:numPr>
          <w:ilvl w:val="0"/>
          <w:numId w:val="2"/>
        </w:numPr>
      </w:pPr>
      <w:r>
        <w:t xml:space="preserve">Indirect and consequential damages</w:t>
      </w:r>
    </w:p>
    <w:p>
      <w:pPr>
        <w:pStyle w:val="ListParagraph"/>
        <w:numPr>
          <w:ilvl w:val="0"/>
          <w:numId w:val="2"/>
        </w:numPr>
      </w:pPr>
      <w:r>
        <w:t xml:space="preserve">Third-party service failures</w:t>
      </w:r>
    </w:p>
    <w:p>
      <w:pPr>
        <w:pStyle w:val="ListParagraph"/>
        <w:numPr>
          <w:ilvl w:val="0"/>
          <w:numId w:val="2"/>
        </w:numPr>
      </w:pPr>
      <w:r>
        <w:t xml:space="preserve">Client content issues</w:t>
      </w:r>
    </w:p>
    <w:p>
      <w:pPr>
        <w:pStyle w:val="ListParagraph"/>
        <w:numPr>
          <w:ilvl w:val="0"/>
          <w:numId w:val="2"/>
        </w:numPr>
        <w:spacing w:after="200"/>
      </w:pPr>
      <w:r>
        <w:t xml:space="preserve">Liability cap = 12 months of fees paid</w:t>
      </w:r>
    </w:p>
    <w:p>
      <w:pPr>
        <w:pStyle w:val="Heading2"/>
      </w:pPr>
      <w:r>
        <w:t xml:space="preserve">5. Client Indemnification</w:t>
      </w:r>
    </w:p>
    <w:p>
      <w:pPr>
        <w:spacing w:after="200"/>
      </w:pPr>
      <w:r>
        <w:rPr>
          <w:b/>
          <w:bCs/>
        </w:rPr>
        <w:t xml:space="preserve">Clients must defend and indemnify you if someone sues because of THEIR content.</w:t>
      </w:r>
      <w:r>
        <w:t xml:space="preserve"> This is critical protection against third-party claims.</w:t>
      </w:r>
    </w:p>
    <w:p>
      <w:pPr>
        <w:pStyle w:val="Heading2"/>
      </w:pPr>
      <w:r>
        <w:t xml:space="preserve">6. Dispute Resolution</w:t>
      </w:r>
    </w:p>
    <w:p>
      <w:pPr>
        <w:spacing w:after="100"/>
      </w:pPr>
      <w:r>
        <w:t xml:space="preserve">Strong protection mechanisms:</w:t>
      </w:r>
    </w:p>
    <w:p>
      <w:pPr>
        <w:pStyle w:val="ListParagraph"/>
        <w:numPr>
          <w:ilvl w:val="0"/>
          <w:numId w:val="2"/>
        </w:numPr>
      </w:pPr>
      <w:r>
        <w:rPr>
          <w:b/>
          <w:bCs/>
        </w:rPr>
        <w:t xml:space="preserve">Mandatory arbitration</w:t>
      </w:r>
      <w:r>
        <w:t xml:space="preserve"> — disputes go to AAA, not court</w:t>
      </w:r>
    </w:p>
    <w:p>
      <w:pPr>
        <w:pStyle w:val="ListParagraph"/>
        <w:numPr>
          <w:ilvl w:val="0"/>
          <w:numId w:val="2"/>
        </w:numPr>
      </w:pPr>
      <w:r>
        <w:rPr>
          <w:b/>
          <w:bCs/>
        </w:rPr>
        <w:t xml:space="preserve">Class action waiver</w:t>
      </w:r>
      <w:r>
        <w:t xml:space="preserve"> — no class actions allowed</w:t>
      </w:r>
    </w:p>
    <w:p>
      <w:pPr>
        <w:pStyle w:val="ListParagraph"/>
        <w:numPr>
          <w:ilvl w:val="0"/>
          <w:numId w:val="2"/>
        </w:numPr>
        <w:spacing w:after="200"/>
      </w:pPr>
      <w:r>
        <w:rPr>
          <w:b/>
          <w:bCs/>
        </w:rPr>
        <w:t xml:space="preserve">Wyoming jurisdiction</w:t>
      </w:r>
      <w:r>
        <w:t xml:space="preserve"> — favorable business laws</w:t>
      </w:r>
    </w:p>
    <w:p>
      <w:pPr>
        <w:pStyle w:val="Heading1"/>
      </w:pPr>
      <w:r>
        <w:t xml:space="preserve">IMPLEMENTATION CHECKLIST</w:t>
      </w:r>
    </w:p>
    <w:p>
      <w:pPr>
        <w:pStyle w:val="ListParagraph"/>
        <w:numPr>
          <w:ilvl w:val="0"/>
          <w:numId w:val="3"/>
        </w:numPr>
      </w:pPr>
      <w:r>
        <w:rPr>
          <w:b/>
          <w:bCs/>
        </w:rPr>
        <w:t xml:space="preserve">Add effective dates</w:t>
      </w:r>
      <w:r>
        <w:t xml:space="preserve"> — Replace [INSERT DATE] with actual dates</w:t>
      </w:r>
    </w:p>
    <w:p>
      <w:pPr>
        <w:pStyle w:val="ListParagraph"/>
        <w:numPr>
          <w:ilvl w:val="0"/>
          <w:numId w:val="3"/>
        </w:numPr>
      </w:pPr>
      <w:r>
        <w:rPr>
          <w:b/>
          <w:bCs/>
        </w:rPr>
        <w:t xml:space="preserve">Publish on website</w:t>
      </w:r>
      <w:r>
        <w:t xml:space="preserve"> — Terms, Privacy, AUP in footer links</w:t>
      </w:r>
    </w:p>
    <w:p>
      <w:pPr>
        <w:pStyle w:val="ListParagraph"/>
        <w:numPr>
          <w:ilvl w:val="0"/>
          <w:numId w:val="3"/>
        </w:numPr>
      </w:pPr>
      <w:r>
        <w:rPr>
          <w:b/>
          <w:bCs/>
        </w:rPr>
        <w:t xml:space="preserve">Add checkbox acceptance</w:t>
      </w:r>
      <w:r>
        <w:t xml:space="preserve"> — "I agree to Terms" at signup</w:t>
      </w:r>
    </w:p>
    <w:p>
      <w:pPr>
        <w:pStyle w:val="ListParagraph"/>
        <w:numPr>
          <w:ilvl w:val="0"/>
          <w:numId w:val="3"/>
        </w:numPr>
      </w:pPr>
      <w:r>
        <w:rPr>
          <w:b/>
          <w:bCs/>
        </w:rPr>
        <w:t xml:space="preserve">Configure chatbot</w:t>
      </w:r>
      <w:r>
        <w:t xml:space="preserve"> — Use FAQ for automated responses</w:t>
      </w:r>
    </w:p>
    <w:p>
      <w:pPr>
        <w:pStyle w:val="ListParagraph"/>
        <w:numPr>
          <w:ilvl w:val="0"/>
          <w:numId w:val="3"/>
        </w:numPr>
      </w:pPr>
      <w:r>
        <w:rPr>
          <w:b/>
          <w:bCs/>
        </w:rPr>
        <w:t xml:space="preserve">Email templates</w:t>
      </w:r>
      <w:r>
        <w:t xml:space="preserve"> — Include ToS link in onboarding emails</w:t>
      </w:r>
    </w:p>
    <w:p>
      <w:pPr>
        <w:pStyle w:val="ListParagraph"/>
        <w:numPr>
          <w:ilvl w:val="0"/>
          <w:numId w:val="3"/>
        </w:numPr>
        <w:spacing w:after="200"/>
      </w:pPr>
      <w:r>
        <w:rPr>
          <w:b/>
          <w:bCs/>
        </w:rPr>
        <w:t xml:space="preserve">Keep records</w:t>
      </w:r>
      <w:r>
        <w:t xml:space="preserve"> — Log client acceptance timestamps</w:t>
      </w:r>
    </w:p>
    <w:p>
      <w:pPr>
        <w:pStyle w:val="Heading1"/>
      </w:pPr>
      <w:r>
        <w:t xml:space="preserve">CRITICAL REMINDERS</w:t>
      </w:r>
    </w:p>
    <w:p>
      <w:pPr>
        <w:spacing w:after="200"/>
      </w:pPr>
      <w:r>
        <w:rPr>
          <w:b/>
          <w:bCs/>
          <w:color w:val="CC0000"/>
        </w:rPr>
        <w:t xml:space="preserve">⚠️ IMPORTANT: </w:t>
      </w:r>
      <w:r>
        <w:t xml:space="preserve">These documents provide strong protection but are not a substitute for legal counsel. Consider having an attorney review them before deployment, especially as you scale.</w:t>
      </w:r>
    </w:p>
    <w:p>
      <w:pPr>
        <w:spacing w:after="200"/>
      </w:pPr>
      <w:r>
        <w:rPr>
          <w:b/>
          <w:bCs/>
        </w:rPr>
        <w:t xml:space="preserve">📝 UPDATE REGULARLY: </w:t>
      </w:r>
      <w:r>
        <w:t xml:space="preserve">Review and update these documents at least annually or when you add new features, change pricing, or expand to new markets.</w:t>
      </w:r>
    </w:p>
    <w:p>
      <w:pPr>
        <w:spacing w:after="200"/>
      </w:pPr>
      <w:r>
        <w:rPr>
          <w:b/>
          <w:bCs/>
        </w:rPr>
        <w:t xml:space="preserve">📧 DMCA AGENT: </w:t>
      </w:r>
      <w:r>
        <w:t xml:space="preserve">Consider registering a DMCA agent with the U.S. Copyright Office for additional protection (recommended when scaling).</w:t>
      </w:r>
    </w:p>
    <w:p>
      <w:pPr>
        <w:pStyle w:val="Heading1"/>
      </w:pPr>
      <w:r>
        <w:t xml:space="preserve">CHATBOT RESPONSE TEMPLATES</w:t>
      </w:r>
    </w:p>
    <w:p>
      <w:pPr>
        <w:spacing w:after="200"/>
      </w:pPr>
      <w:r>
        <w:t xml:space="preserve">Use these pre-written responses when clients ask about legal topics:</w:t>
      </w:r>
    </w:p>
    <w:p>
      <w:pPr>
        <w:pStyle w:val="Heading2"/>
      </w:pPr>
      <w:r>
        <w:t xml:space="preserve">"Can you write my privacy policy?"</w:t>
      </w:r>
    </w:p>
    <w:p>
      <w:pPr>
        <w:spacing w:after="200"/>
      </w:pPr>
      <w:r>
        <w:rPr>
          <w:i/>
          <w:iCs/>
        </w:rPr>
        <w:t xml:space="preserve">Response: </w:t>
      </w:r>
      <w:r>
        <w:t xml:space="preserve">"We don't provide legal documents or legal advice. You're responsible for all legal content on your website. We recommend consulting a qualified attorney or using a reputable legal document service."</w:t>
      </w:r>
    </w:p>
    <w:p>
      <w:pPr>
        <w:pStyle w:val="Heading2"/>
      </w:pPr>
      <w:r>
        <w:t xml:space="preserve">"Will this help my SEO?"</w:t>
      </w:r>
    </w:p>
    <w:p>
      <w:pPr>
        <w:spacing w:after="200"/>
      </w:pPr>
      <w:r>
        <w:rPr>
          <w:i/>
          <w:iCs/>
        </w:rPr>
        <w:t xml:space="preserve">Response: </w:t>
      </w:r>
      <w:r>
        <w:t xml:space="preserve">"We build your site following best practices for structure and performance. However, we don't guarantee any specific rankings, traffic, or business results. Search performance depends on many factors beyond website design."</w:t>
      </w:r>
    </w:p>
    <w:p>
      <w:pPr>
        <w:pStyle w:val="Heading2"/>
      </w:pPr>
      <w:r>
        <w:t xml:space="preserve">"I'm in healthcare/finance/etc. Will this be compliant?"</w:t>
      </w:r>
    </w:p>
    <w:p>
      <w:pPr>
        <w:spacing w:after="200"/>
      </w:pPr>
      <w:r>
        <w:rPr>
          <w:i/>
          <w:iCs/>
        </w:rPr>
        <w:t xml:space="preserve">Response: </w:t>
      </w:r>
      <w:r>
        <w:t xml:space="preserve">"Fastlane provides general-purpose websites. We don't guarantee compliance with industry-specific regulations. You're responsible for ensuring your website meets all applicable legal and regulatory requirements for your industry."</w:t>
      </w:r>
    </w:p>
    <w:p>
      <w:pPr>
        <w:pStyle w:val="Heading2"/>
      </w:pPr>
      <w:r>
        <w:t xml:space="preserve">"Can I get a refund?"</w:t>
      </w:r>
    </w:p>
    <w:p>
      <w:pPr>
        <w:spacing w:after="200"/>
      </w:pPr>
      <w:r>
        <w:rPr>
          <w:i/>
          <w:iCs/>
        </w:rPr>
        <w:t xml:space="preserve">Response: </w:t>
      </w:r>
      <w:r>
        <w:t xml:space="preserve">"Once production has started, refunds aren't available due to the nature of digital services. This is outlined in our Terms of Service. You can cancel your subscription anytime, but no refunds are provided for the current period."</w:t>
      </w:r>
    </w:p>
    <w:p>
      <w:pPr>
        <w:pStyle w:val="Heading1"/>
      </w:pPr>
      <w:r>
        <w:t xml:space="preserve">FINAL NOTE</w:t>
      </w:r>
    </w:p>
    <w:p>
      <w:pPr>
        <w:spacing w:after="200"/>
      </w:pPr>
      <w:r>
        <w:t xml:space="preserve">This legal pack positions CRUSH DIGITAL ATELIER LLC with protection comparable to major US SaaS companies. The key principle throughout: </w:t>
      </w:r>
      <w:r>
        <w:rPr>
          <w:b/>
          <w:bCs/>
          <w:i/>
          <w:iCs/>
        </w:rPr>
        <w:t xml:space="preserve">"Crystal clear responsibilities = no ambiguity = hard to attack."</w:t>
      </w:r>
    </w:p>
    <w:p>
      <w:pPr>
        <w:spacing w:after="400"/>
      </w:pPr>
      <w:r>
        <w:t xml:space="preserve">Most legal disputes come from "I thought they were responsible for..." — these documents eliminate that ambiguity completely.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INTERNAL USE ONLY — CRUSH DIGITAL ATELIER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FASTLANE — Legal Documentation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000000"/>
      <w:sz w:val="28"/>
      <w:szCs w:val="28"/>
    </w:rPr>
  </w:style>
  <w:style w:type="paragraph" w:styleId="Heading2">
    <w:name w:val="Heading 2"/>
    <w:basedOn w:val="Normal"/>
    <w:next w:val="Normal"/>
    <w:qFormat/>
    <w:pPr>
      <w:spacing w:before="300" w:after="15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2025-12-15T09:09:01.623Z</dcterms:created>
  <dcterms:modified xsi:type="dcterms:W3CDTF">2025-12-15T09:09:01.624Z</dcterms:modified>
</cp:coreProperties>
</file>

<file path=docProps/custom.xml><?xml version="1.0" encoding="utf-8"?>
<Properties xmlns="http://schemas.openxmlformats.org/officeDocument/2006/custom-properties" xmlns:vt="http://schemas.openxmlformats.org/officeDocument/2006/docPropsVTypes"/>
</file>