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CLAIMS</w:t>
      </w:r>
    </w:p>
    <w:p>
      <w:pPr>
        <w:spacing w:before="240"/>
      </w:pPr>
      <w:r>
        <w:rPr>
          <w:rFonts w:ascii="Times New Roman" w:hAnsi="Times New Roman"/>
          <w:b/>
          <w:sz w:val="24"/>
        </w:rPr>
        <w:t xml:space="preserve">Claim 1. </w:t>
      </w:r>
      <w:r>
        <w:rPr>
          <w:rFonts w:ascii="Times New Roman" w:hAnsi="Times New Roman"/>
          <w:sz w:val="24"/>
        </w:rPr>
        <w:t>A method for adjudicating a healthcare claim using a zero-knowledge circuit, comprising:</w:t>
      </w:r>
    </w:p>
    <w:p>
      <w:pPr/>
      <w:r>
        <w:t>(a) encoding as arithmetic constraints in a zero-knowledge circuit:</w:t>
      </w:r>
    </w:p>
    <w:p>
      <w:pPr/>
      <w:r>
        <w:t>(i) a formulary eligibility lookup by drug identity code against a benefit plan, wherein the circuit verifies a Merkle witness proving the existence of a formulary entry in a formulary registry Merkle tree and verifies that the drug identity code in the formulary entry matches the drug identity code in the claim data;</w:t>
      </w:r>
    </w:p>
    <w:p>
      <w:pPr/>
      <w:r>
        <w:t>(ii) a cost-share computation from a formulary tier, accumulator balances, and plan parameters, producing a patient copay amount, wherein the computation implements a priority-ordered cascade evaluating an out-of-pocket maximum, an annual benefit maximum, a deductible phase, and a formulary copay tier, each computed as in-circuit conditional branches;</w:t>
      </w:r>
    </w:p>
    <w:p>
      <w:pPr/>
      <w:r>
        <w:t>(iii) a deductible accumulator state transition updating a member deductible paid amount, an out-of-pocket paid amount, and an annual benefit used amount as in-circuit state variables;</w:t>
      </w:r>
    </w:p>
    <w:p>
      <w:pPr/>
      <w:r>
        <w:t>(b) generating a zero-knowledge proof establishing correctness of the adjudication without revealing protected health information, member identity, drug identity in plaintext form, or dosage information; and</w:t>
      </w:r>
    </w:p>
    <w:p>
      <w:pPr/>
      <w:r>
        <w:t>(c) committing the resulting proof output and an updated accumulator root to the member wallet state, wherein the proof output includes a drug identity hash enabling drug identity tracking without revealing the plaintext drug identity code outside the circuit.</w:t>
      </w:r>
    </w:p>
    <w:p>
      <w:pPr>
        <w:spacing w:before="240"/>
      </w:pPr>
      <w:r>
        <w:rPr>
          <w:rFonts w:ascii="Times New Roman" w:hAnsi="Times New Roman"/>
          <w:b/>
          <w:sz w:val="24"/>
        </w:rPr>
        <w:t xml:space="preserve">Claim 2. </w:t>
      </w:r>
      <w:r>
        <w:rPr>
          <w:rFonts w:ascii="Times New Roman" w:hAnsi="Times New Roman"/>
          <w:sz w:val="24"/>
        </w:rPr>
        <w:t>The method of claim 1, wherein the deductible accumulator state transition further comprises computing a deductible credit amount as the minimum of the patient copay amount and a remaining deductible amount, and incorporating the deductible credit into a settlement commitment of the form Poseidon.hash([fulfillmentCommitment, patientPay, planPay, deductibleCredit]), enabling exact reversal of all accumulator state upon claim reversal.</w:t>
      </w:r>
    </w:p>
    <w:p>
      <w:pPr>
        <w:spacing w:before="240"/>
      </w:pPr>
      <w:r>
        <w:rPr>
          <w:rFonts w:ascii="Times New Roman" w:hAnsi="Times New Roman"/>
          <w:b/>
          <w:sz w:val="24"/>
        </w:rPr>
        <w:t xml:space="preserve">Claim 3. </w:t>
      </w:r>
      <w:r>
        <w:rPr>
          <w:rFonts w:ascii="Times New Roman" w:hAnsi="Times New Roman"/>
          <w:sz w:val="24"/>
        </w:rPr>
        <w:t>The method of claim 1, wherein the zero-knowledge circuit further comprises verifying a pharmacy wallet identity binding by recomputing a pharmacy wallet identifier from its preimage fields within the circuit and verifying it matches a pharmacy wallet identifier included in the claim data.</w:t>
      </w:r>
    </w:p>
    <w:p>
      <w:pPr>
        <w:spacing w:before="240"/>
      </w:pPr>
      <w:r>
        <w:rPr>
          <w:rFonts w:ascii="Times New Roman" w:hAnsi="Times New Roman"/>
          <w:b/>
          <w:sz w:val="24"/>
        </w:rPr>
        <w:t xml:space="preserve">Claim 4. </w:t>
      </w:r>
      <w:r>
        <w:rPr>
          <w:rFonts w:ascii="Times New Roman" w:hAnsi="Times New Roman"/>
          <w:sz w:val="24"/>
        </w:rPr>
        <w:t>A system for organizing healthcare data as a multi-domain Merkle forest committed in a verifiable credential, comprising:</w:t>
      </w:r>
    </w:p>
    <w:p>
      <w:pPr/>
      <w:r>
        <w:t>(a) six domain-specific Merkle trees, each using a ZK-friendly algebraic hash function as the internal hash function, the six domains being: member identity, prescriber credentials, pharmacy credentials, medication and formulary data, access control including eligibility and accumulator state, and transaction settlement history;</w:t>
      </w:r>
    </w:p>
    <w:p>
      <w:pPr/>
      <w:r>
        <w:t>(b) a composite forest root computed as the hash of all six domain tree roots;</w:t>
      </w:r>
    </w:p>
    <w:p>
      <w:pPr/>
      <w:r>
        <w:t>(c) a credential whose sole cryptographic payload is the composite forest root, the credential being a multi-field hash commitment that produces a provably distinct credential state upon any change to any leaf in any domain tree; and</w:t>
      </w:r>
    </w:p>
    <w:p>
      <w:pPr/>
      <w:r>
        <w:t>(d) selective domain disclosure via Merkle witnesses for individual domain trees, enabling proof of data in one domain without revealing contents of other domains.</w:t>
      </w:r>
    </w:p>
    <w:p>
      <w:pPr>
        <w:spacing w:before="240"/>
      </w:pPr>
      <w:r>
        <w:rPr>
          <w:rFonts w:ascii="Times New Roman" w:hAnsi="Times New Roman"/>
          <w:b/>
          <w:sz w:val="24"/>
        </w:rPr>
        <w:t xml:space="preserve">Claim 5. </w:t>
      </w:r>
      <w:r>
        <w:rPr>
          <w:rFonts w:ascii="Times New Roman" w:hAnsi="Times New Roman"/>
          <w:sz w:val="24"/>
        </w:rPr>
        <w:t>A method for establishing and accessing a blockchain wallet without a private key, comprising:</w:t>
      </w:r>
    </w:p>
    <w:p>
      <w:pPr/>
      <w:r>
        <w:t>(a) deriving a wallet identifier by computing a hash of a domain tag, one or more hashed identity fields, and a hash of a user-generated enrollment key, wherein the domain tag is an integer constant distinguishing entity types, the identity fields are hashed locally on a user device, and the enrollment key is a cryptographically random value generated on the user device and never transmitted to any other party;</w:t>
      </w:r>
    </w:p>
    <w:p>
      <w:pPr/>
      <w:r>
        <w:t>(b) registering the wallet identifier on a distributed sequencer network as the sole wallet address, with no associated signing key, mnemonic phrase, seed, or key material of any kind;</w:t>
      </w:r>
    </w:p>
    <w:p>
      <w:pPr/>
      <w:r>
        <w:t>(c) gating all state transitions on the wallet exclusively through zero-knowledge proof verification, wherein a state transition is authorized if and only if a valid zero-knowledge proof demonstrates knowledge of the identity fields and enrollment key that produce the wallet identifier; and</w:t>
      </w:r>
    </w:p>
    <w:p>
      <w:pPr/>
      <w:r>
        <w:t>(d) wherein wallet access cannot be obtained by key theft, seed phrase compromise, or private key extraction, as no such material exists at any point in the wallet lifecycle.</w:t>
      </w:r>
    </w:p>
    <w:p>
      <w:pPr>
        <w:spacing w:before="240"/>
      </w:pPr>
      <w:r>
        <w:rPr>
          <w:rFonts w:ascii="Times New Roman" w:hAnsi="Times New Roman"/>
          <w:b/>
          <w:sz w:val="24"/>
        </w:rPr>
        <w:t xml:space="preserve">Claim 6. </w:t>
      </w:r>
      <w:r>
        <w:rPr>
          <w:rFonts w:ascii="Times New Roman" w:hAnsi="Times New Roman"/>
          <w:sz w:val="24"/>
        </w:rPr>
        <w:t>The method of claim 5, wherein the enrollment key is a 256-bit value generated from an operating system entropy pool on the user device, encoded as base64url, and validated for minimum entropy including at least three of four character classes selected from uppercase letters, lowercase letters, digits, and symbols.</w:t>
      </w:r>
    </w:p>
    <w:p>
      <w:pPr>
        <w:spacing w:before="240"/>
      </w:pPr>
      <w:r>
        <w:rPr>
          <w:rFonts w:ascii="Times New Roman" w:hAnsi="Times New Roman"/>
          <w:b/>
          <w:sz w:val="24"/>
        </w:rPr>
        <w:t xml:space="preserve">Claim 7. </w:t>
      </w:r>
      <w:r>
        <w:rPr>
          <w:rFonts w:ascii="Times New Roman" w:hAnsi="Times New Roman"/>
          <w:sz w:val="24"/>
        </w:rPr>
        <w:t>A method for privacy-preserving healthcare identity enrollment involving three parties, comprising:</w:t>
      </w:r>
    </w:p>
    <w:p>
      <w:pPr/>
      <w:r>
        <w:t>(a) an employer system generating a cryptographic enrollment token comprising a plurality of Poseidon hash commitments of employee identification data, group identification data, plan identification data, and family identification data, the token containing zero protected health information;</w:t>
      </w:r>
    </w:p>
    <w:p>
      <w:pPr/>
      <w:r>
        <w:t>(b) a member device, upon receipt of the token, performing entirely on-device: hashing protected health information fields locally, computing a wallet identifier as a Poseidon hash of a domain tag, the hashed identity fields, and a hash of a locally-generated enrollment key, and generating a zero-knowledge proof of correct wallet derivation;</w:t>
      </w:r>
    </w:p>
    <w:p>
      <w:pPr/>
      <w:r>
        <w:t>(c) an insurer system receiving and registering only the wallet identifier and the zero-knowledge proof, wherein the insurer system never receives, processes, or stores any protected health information in any form; and</w:t>
      </w:r>
    </w:p>
    <w:p>
      <w:pPr/>
      <w:r>
        <w:t>(d) wherein no single party holds complete information: the employer holds only the enrollment token, the member holds the identity preimage and enrollment key, and the insurer holds only the opaque wallet identifier.</w:t>
      </w:r>
    </w:p>
    <w:p>
      <w:pPr>
        <w:spacing w:before="240"/>
      </w:pPr>
      <w:r>
        <w:rPr>
          <w:rFonts w:ascii="Times New Roman" w:hAnsi="Times New Roman"/>
          <w:b/>
          <w:sz w:val="24"/>
        </w:rPr>
        <w:t xml:space="preserve">Claim 8. </w:t>
      </w:r>
      <w:r>
        <w:rPr>
          <w:rFonts w:ascii="Times New Roman" w:hAnsi="Times New Roman"/>
          <w:sz w:val="24"/>
        </w:rPr>
        <w:t>A system for certifying healthcare state via a multi-level recursive zero-knowledge proof hierarchy, comprising:</w:t>
      </w:r>
    </w:p>
    <w:p>
      <w:pPr/>
      <w:r>
        <w:t>(a) a state transition program producing a state transition proof per healthcare transaction, with wallet verification inlined as a hash computation with a conditional selector across entity types to avoid adding a recursion level;</w:t>
      </w:r>
    </w:p>
    <w:p>
      <w:pPr/>
      <w:r>
        <w:t>(b) a batch program aggregating state transition proofs via in-circuit verification of constituent proofs, producing a batch proof valid only if all constituent proofs verify, using a uniform pair pattern where both a base-case wrapping method and a recursive merging method accept exactly two proofs; and</w:t>
      </w:r>
    </w:p>
    <w:p>
      <w:pPr/>
      <w:r>
        <w:t>(c) a chain program certifying a global state commitment comprising a plurality of healthcare-specific state fields including at least a wallet registry root, a lifecycle root, a benefit plan root, a credential registry root, an audit chain hash, and a block height, via in-circuit verification of batch proofs, producing a chain proof that recursively encapsulates all prior chain history.</w:t>
      </w:r>
    </w:p>
    <w:p>
      <w:pPr>
        <w:spacing w:before="240"/>
      </w:pPr>
      <w:r>
        <w:rPr>
          <w:rFonts w:ascii="Times New Roman" w:hAnsi="Times New Roman"/>
          <w:b/>
          <w:sz w:val="24"/>
        </w:rPr>
        <w:t xml:space="preserve">Claim 9. </w:t>
      </w:r>
      <w:r>
        <w:rPr>
          <w:rFonts w:ascii="Times New Roman" w:hAnsi="Times New Roman"/>
          <w:sz w:val="24"/>
        </w:rPr>
        <w:t>The system of claim 8, wherein the global state commitment is a ten-field Poseidon hash comprising a wallet registry root, a wallet count, an administrator public key hash, a lifecycle root, a benefit plan root, a credential registry root, an eligibility verification key hash, a messaging root, an audit chain hash, and a block height.</w:t>
      </w:r>
    </w:p>
    <w:p>
      <w:pPr>
        <w:spacing w:before="240"/>
      </w:pPr>
      <w:r>
        <w:rPr>
          <w:rFonts w:ascii="Times New Roman" w:hAnsi="Times New Roman"/>
          <w:b/>
          <w:sz w:val="24"/>
        </w:rPr>
        <w:t xml:space="preserve">Claim 10. </w:t>
      </w:r>
      <w:r>
        <w:rPr>
          <w:rFonts w:ascii="Times New Roman" w:hAnsi="Times New Roman"/>
          <w:sz w:val="24"/>
        </w:rPr>
        <w:t>A computer-implemented data structure for accumulating adjudicated pharmacy claims as zero-knowledge commitments with multi-dimensional lookup capability, comprising:</w:t>
      </w:r>
    </w:p>
    <w:p>
      <w:pPr/>
      <w:r>
        <w:t>(a) a Merkle tree of a predetermined depth wherein each leaf is a Poseidon hash of a plurality of claim fields including at least a member wallet identifier, a drug identity hash, a pharmacy wallet identifier, a prescriber wallet identifier, a date of service, a patient pay amount, and a plan pay amount;</w:t>
      </w:r>
    </w:p>
    <w:p>
      <w:pPr/>
      <w:r>
        <w:t>(b) a plurality of parallel index structures, each mapping a different claim field key to leaf indices, supporting lookup by at least member wallet identifier, pharmacy wallet identifier, prescriber wallet identifier, and drug identity hash;</w:t>
      </w:r>
    </w:p>
    <w:p>
      <w:pPr/>
      <w:r>
        <w:t>(c) Merkle witness generation producing inclusion proofs verifiable inside a zero-knowledge circuit without revealing other leaf values; and</w:t>
      </w:r>
    </w:p>
    <w:p>
      <w:pPr/>
      <w:r>
        <w:t>(d) a claim accumulator root committed as a metadata field in each batch record alongside the cryptographically certified batch proof, and further attested by a multi-node state certificate comprising Ed25519-signed acknowledgments from a majority of sequencer nodes at each batch boundary.</w:t>
      </w:r>
    </w:p>
    <w:p>
      <w:pPr>
        <w:spacing w:before="240"/>
      </w:pPr>
      <w:r>
        <w:rPr>
          <w:rFonts w:ascii="Times New Roman" w:hAnsi="Times New Roman"/>
          <w:b/>
          <w:sz w:val="24"/>
        </w:rPr>
        <w:t xml:space="preserve">Claim 11. </w:t>
      </w:r>
      <w:r>
        <w:rPr>
          <w:rFonts w:ascii="Times New Roman" w:hAnsi="Times New Roman"/>
          <w:sz w:val="24"/>
        </w:rPr>
        <w:t>A method for privacy-preserving healthcare compliance auditing using a hash chain with selective disclosure, comprising:</w:t>
      </w:r>
    </w:p>
    <w:p>
      <w:pPr/>
      <w:r>
        <w:t>(a) maintaining an audit chain as successive hash commitments wherein each event commitment is a multi-field hash of state transition fields including wallet identifier, old and new registry roots, old and new lifecycle roots, sequence number, registration flag, drug identity hash, and financial amounts, and each chain link is a hash of the previous chain hash and the current event commitment, starting from a genesis hash;</w:t>
      </w:r>
    </w:p>
    <w:p>
      <w:pPr/>
      <w:r>
        <w:t>(b) committing the current audit chain hash in a global state commitment that binds the audit chain to all other healthcare state in a single recursive zero-knowledge proof;</w:t>
      </w:r>
    </w:p>
    <w:p>
      <w:pPr/>
      <w:r>
        <w:t>(c) selective event disclosure for individual audit entries, wherein an auditor may be provided with a specific event commitment, its sequence position, and the chain hash values immediately before and after the event, enabling the auditor to verify the event's inclusion in the chain by recomputing the chain link hash without requiring disclosure of any other entry; and</w:t>
      </w:r>
    </w:p>
    <w:p>
      <w:pPr/>
      <w:r>
        <w:t>(d) the audit chain being append-only, tamper-evident, and independently verifiable by any party with the genesis hash.</w:t>
      </w:r>
    </w:p>
    <w:p>
      <w:pPr>
        <w:spacing w:before="240"/>
      </w:pPr>
      <w:r>
        <w:rPr>
          <w:rFonts w:ascii="Times New Roman" w:hAnsi="Times New Roman"/>
          <w:b/>
          <w:sz w:val="24"/>
        </w:rPr>
        <w:t xml:space="preserve">Claim 12. </w:t>
      </w:r>
      <w:r>
        <w:rPr>
          <w:rFonts w:ascii="Times New Roman" w:hAnsi="Times New Roman"/>
          <w:sz w:val="24"/>
        </w:rPr>
        <w:t>A partitioned sequencer network for processing zero-knowledge healthcare proofs, comprising:</w:t>
      </w:r>
    </w:p>
    <w:p>
      <w:pPr/>
      <w:r>
        <w:t>(a) a plurality of sequencer nodes, each assigned an exclusive partition of a wallet address space, wherein the partition assignment is computed as the wallet identifier modulo the total partition count;</w:t>
      </w:r>
    </w:p>
    <w:p>
      <w:pPr/>
      <w:r>
        <w:t>(b) each sequencer node accepting proofs exclusively for wallets in its assigned partition and rejecting proofs for wallets in other partitions;</w:t>
      </w:r>
    </w:p>
    <w:p>
      <w:pPr/>
      <w:r>
        <w:t>(c) a client-side partition router that pre-discovers all partition sequencer endpoints and computes the correct destination for any wallet operation using only the wallet identifier and partition count, without any central dispatcher, load balancer, or routing oracle; and</w:t>
      </w:r>
    </w:p>
    <w:p>
      <w:pPr/>
      <w:r>
        <w:t>(d) a plurality of zero-authentication read endpoints exposing only hash commitments, wherein privacy derives from the computational irreversibility of the hash function rather than from access control mechanisms.</w:t>
      </w:r>
    </w:p>
    <w:p>
      <w:pPr>
        <w:spacing w:before="240"/>
      </w:pPr>
      <w:r>
        <w:rPr>
          <w:rFonts w:ascii="Times New Roman" w:hAnsi="Times New Roman"/>
          <w:b/>
          <w:sz w:val="24"/>
        </w:rPr>
        <w:t xml:space="preserve">Claim 13. </w:t>
      </w:r>
      <w:r>
        <w:rPr>
          <w:rFonts w:ascii="Times New Roman" w:hAnsi="Times New Roman"/>
          <w:sz w:val="24"/>
        </w:rPr>
        <w:t>A gossip replication protocol for propagating zero-knowledge proof lifecycle events across a sequencer network, comprising:</w:t>
      </w:r>
    </w:p>
    <w:p>
      <w:pPr/>
      <w:r>
        <w:t>(a) a plurality of typed gossip messages including at least proof acceptance, batch assembly, batch settlement, batch failure, state snapshot for initial block download, message storage, peer announcement, leader heartbeat, leader promotion, quorum proposal, quorum vote, and quorum certificate event types;</w:t>
      </w:r>
    </w:p>
    <w:p>
      <w:pPr/>
      <w:r>
        <w:t>(b) idempotent replication wherein duplicate messages are detected and skipped using a bounded deduplication set;</w:t>
      </w:r>
    </w:p>
    <w:p>
      <w:pPr/>
      <w:r>
        <w:t>(c) a trust mechanism based exclusively on zero-knowledge proof cryptographic validity, without Byzantine fault tolerance, proof of work, proof of stake, or validity-determining consensus voting, wherein the correctness of each healthcare proof is established solely by the zero-knowledge proving system and not by any node voting on proof validity; and</w:t>
      </w:r>
    </w:p>
    <w:p>
      <w:pPr/>
      <w:r>
        <w:t>(d) directed messaging capability wherein a gossip message may be sent to a specific peer node rather than broadcast to all peers, enabling point-to-point communication for quorum vote responses; and</w:t>
      </w:r>
    </w:p>
    <w:p>
      <w:pPr/>
      <w:r>
        <w:t>(e) entity node participation wherein entity nodes receive gossip messages from the sequencer network without owning any partition, maintaining read-only replicas that enable entity nodes to serve local read queries for any proof in the global dataset without routing to a partition leader.</w:t>
      </w:r>
    </w:p>
    <w:p>
      <w:pPr>
        <w:spacing w:before="240"/>
      </w:pPr>
      <w:r>
        <w:rPr>
          <w:rFonts w:ascii="Times New Roman" w:hAnsi="Times New Roman"/>
          <w:b/>
          <w:sz w:val="24"/>
        </w:rPr>
        <w:t xml:space="preserve">Claim 14. </w:t>
      </w:r>
      <w:r>
        <w:rPr>
          <w:rFonts w:ascii="Times New Roman" w:hAnsi="Times New Roman"/>
          <w:sz w:val="24"/>
        </w:rPr>
        <w:t>A multi-leader sequencer architecture for zero-knowledge healthcare proof processing, comprising:</w:t>
      </w:r>
    </w:p>
    <w:p>
      <w:pPr/>
      <w:r>
        <w:t>(a) a plurality of sequencer nodes, each serving as sovereign leader of at least one partition of a wallet address space;</w:t>
      </w:r>
    </w:p>
    <w:p>
      <w:pPr/>
      <w:r>
        <w:t>(b) a heartbeat protocol wherein each leader broadcasts liveness signals at a configurable interval;</w:t>
      </w:r>
    </w:p>
    <w:p>
      <w:pPr/>
      <w:r>
        <w:t>(c) a deterministic failover chain specifying a priority ordering of nodes for each partition, wherein upon a leader's heartbeat timeout, the highest-priority live node in the failover chain automatically promotes itself to leader of the orphaned partition without exchanging any consensus messages;</w:t>
      </w:r>
    </w:p>
    <w:p>
      <w:pPr/>
      <w:r>
        <w:t>(d) split-brain resolution wherein if two nodes promote simultaneously for the same partition, the lower-priority node demotes immediately upon receiving the higher-priority node's promotion gossip message; and</w:t>
      </w:r>
    </w:p>
    <w:p>
      <w:pPr/>
      <w:r>
        <w:t>(e) transparent client-side failover wherein entity nodes, being nodes that participate in the network without owning any partition, each cache a partition routing table, and upon a connection-level failure to a cached partition leader, automatically re-discovers the current partition leaders from the sequencer network and retries the operation exactly once against the newly promoted leader without user intervention or application-level awareness.</w:t>
      </w:r>
    </w:p>
    <w:p>
      <w:pPr>
        <w:spacing w:before="240"/>
      </w:pPr>
      <w:r>
        <w:rPr>
          <w:rFonts w:ascii="Times New Roman" w:hAnsi="Times New Roman"/>
          <w:b/>
          <w:sz w:val="24"/>
        </w:rPr>
        <w:t xml:space="preserve">Claim 15. </w:t>
      </w:r>
      <w:r>
        <w:rPr>
          <w:rFonts w:ascii="Times New Roman" w:hAnsi="Times New Roman"/>
          <w:sz w:val="24"/>
        </w:rPr>
        <w:t>A message store for encrypted healthcare communications, comprising:</w:t>
      </w:r>
    </w:p>
    <w:p>
      <w:pPr/>
      <w:r>
        <w:t>(a) a Merkle tree wherein each leaf is a hash commitment of message metadata including a message content commitment, sender wallet identifier, recipient wallet identifier, message type, and thread identifier, but not the message content itself;</w:t>
      </w:r>
    </w:p>
    <w:p>
      <w:pPr/>
      <w:r>
        <w:t>(b) encrypted message payloads stored alongside but not within the Merkle tree, the encryption using keys derived from user enrollment keys such that the sequencer cannot decrypt any message;</w:t>
      </w:r>
    </w:p>
    <w:p>
      <w:pPr/>
      <w:r>
        <w:t>(c) a plurality of parallel index structures supporting lookup by sender, recipient, wallet union, and thread identifier; and</w:t>
      </w:r>
    </w:p>
    <w:p>
      <w:pPr/>
      <w:r>
        <w:t>(d) a message store root committed as a metadata field in each batch record alongside the cryptographically certified batch proof, associating the message history with the same batch data structure that carries the chain proof global state commitment.</w:t>
      </w:r>
    </w:p>
    <w:p>
      <w:pPr>
        <w:spacing w:before="240"/>
      </w:pPr>
      <w:r>
        <w:rPr>
          <w:rFonts w:ascii="Times New Roman" w:hAnsi="Times New Roman"/>
          <w:b/>
          <w:sz w:val="24"/>
        </w:rPr>
        <w:t xml:space="preserve">Claim 16. </w:t>
      </w:r>
      <w:r>
        <w:rPr>
          <w:rFonts w:ascii="Times New Roman" w:hAnsi="Times New Roman"/>
          <w:sz w:val="24"/>
        </w:rPr>
        <w:t>An epoch-based temporal accumulator for healthcare claim history, comprising:</w:t>
      </w:r>
    </w:p>
    <w:p>
      <w:pPr/>
      <w:r>
        <w:t>(a) a plurality of claim accumulator instances, each comprising a Merkle tree and a plurality of index structures, with at most one instance designated as active and receiving writes, and remaining instances designated as archived and immutable;</w:t>
      </w:r>
    </w:p>
    <w:p>
      <w:pPr/>
      <w:r>
        <w:t>(b) an epoch rotation operation that freezes the active instance and creates a fresh active instance with an empty Merkle tree; and</w:t>
      </w:r>
    </w:p>
    <w:p>
      <w:pPr/>
      <w:r>
        <w:t>(c) cross-epoch aggregation queries that search the active epoch first and then all archived epochs, returning a unified result set.</w:t>
      </w:r>
    </w:p>
    <w:p>
      <w:pPr>
        <w:spacing w:before="240"/>
      </w:pPr>
      <w:r>
        <w:rPr>
          <w:rFonts w:ascii="Times New Roman" w:hAnsi="Times New Roman"/>
          <w:b/>
          <w:sz w:val="24"/>
        </w:rPr>
        <w:t xml:space="preserve">Claim 17. </w:t>
      </w:r>
      <w:r>
        <w:rPr>
          <w:rFonts w:ascii="Times New Roman" w:hAnsi="Times New Roman"/>
          <w:sz w:val="24"/>
        </w:rPr>
        <w:t>A portable zero-knowledge credential for offline healthcare verification, comprising:</w:t>
      </w:r>
    </w:p>
    <w:p>
      <w:pPr/>
      <w:r>
        <w:t>(a) a zero-knowledge credential program providing at least: a mint method proving correct credential insertion into a wallet inventory, a holding method proving a wallet holds a specific credential, and a holding-by-type method proving a wallet holds a credential of a specified type without revealing which specific credential, each method verifying wallet ownership in-circuit via recursive proof composition;</w:t>
      </w:r>
    </w:p>
    <w:p>
      <w:pPr/>
      <w:r>
        <w:t>(b) a self-contained credential format containing a serialized zero-knowledge proof, extracted public output fields, a verification key hash, and expiration metadata, transportable via NFC, QR code, or RFID;</w:t>
      </w:r>
    </w:p>
    <w:p>
      <w:pPr/>
      <w:r>
        <w:t>(c) offline verification capability wherein the credential is verified at point-of-care using only the serialized proof and a cached verification key, with zero network connectivity, zero issuer lookup, and zero blockchain query required; and</w:t>
      </w:r>
    </w:p>
    <w:p>
      <w:pPr/>
      <w:r>
        <w:t>(d) for delegation credentials, tiered time-to-live values enforcing risk-proportional expiration with a shortest time-to-live for medication dispensing operations.</w:t>
      </w:r>
    </w:p>
    <w:p>
      <w:pPr>
        <w:spacing w:before="240"/>
      </w:pPr>
      <w:r>
        <w:rPr>
          <w:rFonts w:ascii="Times New Roman" w:hAnsi="Times New Roman"/>
          <w:b/>
          <w:sz w:val="24"/>
        </w:rPr>
        <w:t xml:space="preserve">Claim 18. </w:t>
      </w:r>
      <w:r>
        <w:rPr>
          <w:rFonts w:ascii="Times New Roman" w:hAnsi="Times New Roman"/>
          <w:sz w:val="24"/>
        </w:rPr>
        <w:t>A method for ensuring durable replication of zero-knowledge proofs across a sequencer network prior to client acknowledgment, comprising:</w:t>
      </w:r>
    </w:p>
    <w:p>
      <w:pPr/>
      <w:r>
        <w:t>(a) a per-partition write-ahead log maintained by each sequencer node, wherein each proof acceptance, batch assembly, and batch settlement is appended as a log entry and flushed to persistent storage before any in-memory state mutations are applied, each entry containing a unique identifier, a monotonic sequence number, an entry type, serialized proof data, pre-computed receipt and audit event data, a state snapshot, and an integrity hash;</w:t>
      </w:r>
    </w:p>
    <w:p>
      <w:pPr/>
      <w:r>
        <w:t>(b) a quorum write protocol wherein, upon accepting a zero-knowledge proof, the partition leader appends a write-ahead log entry locally, broadcasts a proposal to peer sequencer nodes, and does not acknowledge the proof to the submitting client until a configurable threshold of sequencer nodes have each appended the entry to their respective write-ahead logs and returned a cryptographically signed acknowledgment;</w:t>
      </w:r>
    </w:p>
    <w:p>
      <w:pPr/>
      <w:r>
        <w:t>(c) quorum certificates comprising the threshold set of Ed25519-signed acknowledgments, each acknowledgment signed over a canonical deterministic message including the proposal identifier, the write-ahead log entry hash, the voter identifier, and a timestamp, the quorum certificate being attached to the receipt returned to the client as cryptographic proof of durable multi-node replication;</w:t>
      </w:r>
    </w:p>
    <w:p>
      <w:pPr/>
      <w:r>
        <w:t>(d) state certificates at batch boundaries, each comprising a threshold set of Ed25519 signatures over a canonical deterministic message including a state digest hash computed from the aggregate sequencer state at the batch boundary, providing a cryptographic attestation that a majority of sequencer nodes agree on the state at each batch point;</w:t>
      </w:r>
    </w:p>
    <w:p>
      <w:pPr/>
      <w:r>
        <w:t>(e) crash recovery by replaying uncommitted write-ahead log entries, wherein entries with no commit marker are re-applied from pre-computed data and marked as committed, and incomplete batch entries are discarded; and</w:t>
      </w:r>
    </w:p>
    <w:p>
      <w:pPr/>
      <w:r>
        <w:t>(f) log compaction after checkpoint, wherein committed entries at or below the checkpointed sequence number are removed via an atomic write strategy comprising writing retained entries to a temporary file, flushing the temporary file to persistent storage, and atomically renaming the temporary file to replace the original log file.</w:t>
      </w:r>
    </w:p>
    <w:p>
      <w:pPr>
        <w:spacing w:before="240"/>
      </w:pPr>
      <w:r>
        <w:rPr>
          <w:rFonts w:ascii="Times New Roman" w:hAnsi="Times New Roman"/>
          <w:b/>
          <w:sz w:val="24"/>
        </w:rPr>
        <w:t xml:space="preserve">Claim 19. </w:t>
      </w:r>
      <w:r>
        <w:rPr>
          <w:rFonts w:ascii="Times New Roman" w:hAnsi="Times New Roman"/>
          <w:sz w:val="24"/>
        </w:rPr>
        <w:t>The system of Claim 12, further comprising a proving pool subsystem within each sequencer node for parallelizing zero-knowledge proof generation across isolated computation contexts, the subsystem comprising:</w:t>
      </w:r>
    </w:p>
    <w:p>
      <w:pPr/>
      <w:r>
        <w:t>(a) a plurality of worker processes forked from the sequencer process via operating system process isolation, each worker maintaining an independent zero-knowledge proving context with its own WebAssembly memory space, wherein the WASM runtime compiles the BatchZkProgram and ChainZkProgram verification keys independently in each worker, such that no shared mutable state exists between the sequencer process and any worker process or between any two worker processes;</w:t>
      </w:r>
    </w:p>
    <w:p>
      <w:pPr/>
      <w:r>
        <w:t>(b) a split-phase batch construction protocol dividing the batch lifecycle into three sequential phases executing across process boundaries: (i) a prepare phase executing on the sequencer process, which drains pending proofs from the acceptance queue and serializes them as JSON with finite field values encoded as decimal strings; (ii) a prove phase executing on an idle worker process, which deserializes the proofs, invokes the BatchZkProgram's in-circuit verify methods to produce a BatchProof, and returns the result serialized as JSON; (iii) a finalize phase executing on the sequencer process, which deserializes the proofs, stamps batch metadata, updates receipt settlement status, and broadcasts a gossip event;</w:t>
      </w:r>
    </w:p>
    <w:p>
      <w:pPr/>
      <w:r>
        <w:t xml:space="preserve">(c) an inter-process communication protocol using operating system IPC channels with JSON serialization, comprising message types for compilation, job dispatch, result return, error reporting, and graceful shutdown, wherein all ZK proof objects are transported via </w:t>
      </w:r>
      <w:r>
        <w:rPr>
          <w:rFonts w:ascii="Courier New" w:hAnsi="Courier New"/>
          <w:sz w:val="20"/>
        </w:rPr>
        <w:t>proof.toJSON()</w:t>
      </w:r>
      <w:r>
        <w:t xml:space="preserve"> and reconstructed via </w:t>
      </w:r>
      <w:r>
        <w:rPr>
          <w:rFonts w:ascii="Courier New" w:hAnsi="Courier New"/>
          <w:sz w:val="20"/>
        </w:rPr>
        <w:t>ZkProgram.Proof.fromJSON()</w:t>
      </w:r>
      <w:r>
        <w:t xml:space="preserve"> and all algebraic field values are encoded as decimal strings for lossless transport;</w:t>
      </w:r>
    </w:p>
    <w:p>
      <w:pPr/>
      <w:r>
        <w:t>(d) a worker recycling mechanism configured to terminate and replace a worker process after a configurable number of completed proving jobs, wherein the recycling reclaims WebAssembly heap memory that grows monotonically within the WASM runtime and cannot be reclaimed by garbage collection, as the WASM linear memory model provides no compaction or deallocation API;</w:t>
      </w:r>
    </w:p>
    <w:p>
      <w:pPr/>
      <w:r>
        <w:t>(e) a crash detection and automatic recovery mechanism wherein the sequencer monitors each worker for unexpected termination, rejects any in-flight job assigned to the crashed worker, spawns a replacement, and ceases replacement attempts after a configurable maximum restart count; and</w:t>
      </w:r>
    </w:p>
    <w:p>
      <w:pPr/>
      <w:r>
        <w:t>(f) a job dispatch and queuing mechanism wherein incoming requests are dispatched to idle workers immediately or enqueued in a FIFO queue when all workers are busy, with configurable per-job timeouts and aggregate statistics exposed via RPC.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