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shd w:fill="1E3A8A" w:color="auto" w:val="clear"/>
            <w:tcMar>
              <w:top w:type="dxa" w:w="200"/>
              <w:left w:type="dxa" w:w="220"/>
              <w:bottom w:type="dxa" w:w="200"/>
              <w:right w:type="dxa" w:w="220"/>
            </w:tcMar>
            <w:vAlign w:val="center"/>
          </w:tcPr>
          <w:p>
            <w:r>
              <w:rPr>
                <w:rFonts w:ascii="Arial" w:cs="Arial" w:eastAsia="Arial" w:hAnsi="Arial"/>
                <w:b/>
                <w:bCs/>
                <w:color w:val="FFFFFF"/>
                <w:sz w:val="26"/>
                <w:szCs w:val="26"/>
              </w:rPr>
              <w:t xml:space="preserve">NARRATIVE DE PLANIFICATION ANNUELLE — LOGISTIQUE</w:t>
            </w:r>
          </w:p>
          <w:p>
            <w:pPr>
              <w:spacing w:before="60"/>
            </w:pPr>
            <w:r>
              <w:rPr>
                <w:rFonts w:ascii="Arial" w:cs="Arial" w:eastAsia="Arial" w:hAnsi="Arial"/>
                <w:color w:val="D1D5DB"/>
                <w:sz w:val="18"/>
                <w:szCs w:val="18"/>
              </w:rPr>
              <w:t xml:space="preserve">Formation en Logistique Humanitaire · Module 08 · BK-BOOST Ltd.</w:t>
            </w:r>
          </w:p>
        </w:tc>
      </w:tr>
    </w:tbl>
    <w:p>
      <w:pPr>
        <w:spacing w:after="120" w:before="160"/>
      </w:pPr>
      <w:r>
        <w:rPr>
          <w:rFonts w:ascii="Arial" w:cs="Arial" w:eastAsia="Arial" w:hAnsi="Arial"/>
          <w:i/>
          <w:iCs/>
          <w:color w:val="6B7280"/>
          <w:sz w:val="18"/>
          <w:szCs w:val="18"/>
        </w:rPr>
        <w:t xml:space="preserve">Objectif : construire, une fois par an, le narratif de planification stratégique du département Logistique — le contrepoint annuel du gabarit de rapport logistique mensuel de ce module : là où celui-ci suit la routine mois après mois, ce document est produit une seule fois par an, en amont du cycle de planification de l'année suivante, pour poser le contexte, le bilan stratégique, les priorités et les ressources humaines à moyen terme.</w:t>
      </w:r>
    </w:p>
    <w:p>
      <w:pPr>
        <w:pBdr>
          <w:bottom w:val="single" w:color="047857" w:sz="6" w:space="4"/>
        </w:pBdr>
        <w:spacing w:after="100" w:before="260"/>
      </w:pPr>
      <w:r>
        <w:rPr>
          <w:rFonts w:ascii="Arial" w:cs="Arial" w:eastAsia="Arial" w:hAnsi="Arial"/>
          <w:b/>
          <w:bCs/>
          <w:color w:val="B45309"/>
          <w:sz w:val="22"/>
          <w:szCs w:val="22"/>
        </w:rPr>
        <w:t xml:space="preserve">1. </w:t>
      </w:r>
      <w:r>
        <w:rPr>
          <w:rFonts w:ascii="Arial" w:cs="Arial" w:eastAsia="Arial" w:hAnsi="Arial"/>
          <w:b/>
          <w:bCs/>
          <w:color w:val="1E3A8A"/>
          <w:sz w:val="22"/>
          <w:szCs w:val="22"/>
        </w:rPr>
        <w:t xml:space="preserve">Contexte externe et risques liés à la chaîne d'approvisionnement</w:t>
      </w:r>
    </w:p>
    <w:p>
      <w:pPr>
        <w:pBdr>
          <w:bottom w:val="single" w:color="D1D5DB" w:sz="4" w:space="2"/>
        </w:pBdr>
        <w:spacing w:after="160"/>
      </w:pPr>
      <w:r>
        <w:rPr>
          <w:rFonts w:ascii="Arial" w:cs="Arial" w:eastAsia="Arial" w:hAnsi="Arial"/>
          <w:i/>
          <w:iCs/>
          <w:color w:val="6B7280"/>
          <w:sz w:val="18"/>
          <w:szCs w:val="18"/>
        </w:rPr>
        <w:t xml:space="preserve">Contexte externe : contraintes d'accès routier et saisonnier, état des infrastructures (routes, ponts, pistes d'atterrissage), disponibilité et fiabilité des transporteurs et sous-traitants flotte de la zone.</w:t>
      </w:r>
    </w:p>
    <w:p>
      <w:pPr>
        <w:pBdr>
          <w:bottom w:val="single" w:color="D1D5DB" w:sz="4" w:space="2"/>
        </w:pBdr>
        <w:spacing w:after="160"/>
      </w:pPr>
      <w:r>
        <w:rPr>
          <w:rFonts w:ascii="Arial" w:cs="Arial" w:eastAsia="Arial" w:hAnsi="Arial"/>
        </w:rPr>
        <w:t xml:space="preserve"/>
      </w:r>
    </w:p>
    <w:p>
      <w:pPr>
        <w:pBdr>
          <w:bottom w:val="single" w:color="D1D5DB" w:sz="4" w:space="2"/>
        </w:pBdr>
        <w:spacing w:after="160"/>
      </w:pPr>
      <w:r>
        <w:rPr>
          <w:rFonts w:ascii="Arial" w:cs="Arial" w:eastAsia="Arial" w:hAnsi="Arial"/>
          <w:i/>
          <w:iCs/>
          <w:color w:val="6B7280"/>
          <w:sz w:val="18"/>
          <w:szCs w:val="18"/>
        </w:rPr>
        <w:t xml:space="preserve">Risques logistiques susceptibles d'avoir des conséquences opérationnelles : dégradation sécuritaire d'un axe, vieillissement du parc véhicules, dépendance à un seul point d'entrée (port, aéroport, poste-frontière).</w:t>
      </w:r>
    </w:p>
    <w:p>
      <w:pPr>
        <w:pBdr>
          <w:bottom w:val="single" w:color="D1D5DB" w:sz="4" w:space="2"/>
        </w:pBdr>
        <w:spacing w:after="160"/>
      </w:pPr>
      <w:r>
        <w:rPr>
          <w:rFonts w:ascii="Arial" w:cs="Arial" w:eastAsia="Arial" w:hAnsi="Arial"/>
        </w:rPr>
        <w:t xml:space="preserve"/>
      </w:r>
    </w:p>
    <w:p>
      <w:pPr>
        <w:pBdr>
          <w:bottom w:val="single" w:color="047857" w:sz="6" w:space="4"/>
        </w:pBdr>
        <w:spacing w:after="100" w:before="260"/>
      </w:pPr>
      <w:r>
        <w:rPr>
          <w:rFonts w:ascii="Arial" w:cs="Arial" w:eastAsia="Arial" w:hAnsi="Arial"/>
          <w:b/>
          <w:bCs/>
          <w:color w:val="B45309"/>
          <w:sz w:val="22"/>
          <w:szCs w:val="22"/>
        </w:rPr>
        <w:t xml:space="preserve">2. </w:t>
      </w:r>
      <w:r>
        <w:rPr>
          <w:rFonts w:ascii="Arial" w:cs="Arial" w:eastAsia="Arial" w:hAnsi="Arial"/>
          <w:b/>
          <w:bCs/>
          <w:color w:val="1E3A8A"/>
          <w:sz w:val="22"/>
          <w:szCs w:val="22"/>
        </w:rPr>
        <w:t xml:space="preserve">Objectifs stratégiques de l'année en cours (bilan)</w:t>
      </w:r>
    </w:p>
    <w:p>
      <w:pPr>
        <w:spacing w:after="60" w:before="140"/>
      </w:pPr>
      <w:r>
        <w:rPr>
          <w:rFonts w:ascii="Arial" w:cs="Arial" w:eastAsia="Arial" w:hAnsi="Arial"/>
          <w:b/>
          <w:bCs/>
          <w:color w:val="1E3A8A"/>
          <w:sz w:val="19"/>
          <w:szCs w:val="19"/>
        </w:rPr>
        <w:t xml:space="preserve">Objectifs principaux de l'année écoulée</w:t>
      </w:r>
    </w:p>
    <w:p>
      <w:pPr>
        <w:pBdr>
          <w:bottom w:val="single" w:color="D1D5DB" w:sz="4" w:space="2"/>
        </w:pBdr>
        <w:spacing w:after="160"/>
      </w:pPr>
      <w:r>
        <w:rPr>
          <w:rFonts w:ascii="Arial" w:cs="Arial" w:eastAsia="Arial" w:hAnsi="Arial"/>
          <w:i/>
          <w:iCs/>
          <w:color w:val="6B7280"/>
          <w:sz w:val="18"/>
          <w:szCs w:val="18"/>
        </w:rPr>
        <w:t xml:space="preserve">Objectifs prioritaires fixés en début d'année pour la logistique (flotte, entrepôts, chaîne du froid, accès) — lesquels ont été atteints ?</w:t>
      </w:r>
    </w:p>
    <w:p>
      <w:pPr>
        <w:pBdr>
          <w:bottom w:val="single" w:color="D1D5DB" w:sz="4" w:space="2"/>
        </w:pBdr>
        <w:spacing w:after="160"/>
      </w:pPr>
      <w:r>
        <w:rPr>
          <w:rFonts w:ascii="Arial" w:cs="Arial" w:eastAsia="Arial" w:hAnsi="Arial"/>
        </w:rPr>
        <w:t xml:space="preserve"/>
      </w:r>
    </w:p>
    <w:p>
      <w:pPr>
        <w:pBdr>
          <w:bottom w:val="single" w:color="D1D5DB" w:sz="4" w:space="2"/>
        </w:pBdr>
        <w:spacing w:after="160"/>
      </w:pPr>
      <w:r>
        <w:rPr>
          <w:rFonts w:ascii="Arial" w:cs="Arial" w:eastAsia="Arial" w:hAnsi="Arial"/>
          <w:i/>
          <w:iCs/>
          <w:color w:val="6B7280"/>
          <w:sz w:val="18"/>
          <w:szCs w:val="18"/>
        </w:rPr>
        <w:t xml:space="preserve">Principaux défis rencontrés dans leur mise en œuvre ?</w:t>
      </w:r>
    </w:p>
    <w:p>
      <w:pPr>
        <w:pBdr>
          <w:bottom w:val="single" w:color="D1D5DB" w:sz="4" w:space="2"/>
        </w:pBdr>
        <w:spacing w:after="160"/>
      </w:pPr>
      <w:r>
        <w:rPr>
          <w:rFonts w:ascii="Arial" w:cs="Arial" w:eastAsia="Arial" w:hAnsi="Arial"/>
        </w:rPr>
        <w:t xml:space="preserve"/>
      </w:r>
    </w:p>
    <w:p>
      <w:pPr>
        <w:spacing w:after="60" w:before="140"/>
      </w:pPr>
      <w:r>
        <w:rPr>
          <w:rFonts w:ascii="Arial" w:cs="Arial" w:eastAsia="Arial" w:hAnsi="Arial"/>
          <w:b/>
          <w:bCs/>
          <w:color w:val="1E3A8A"/>
          <w:sz w:val="19"/>
          <w:szCs w:val="19"/>
        </w:rPr>
        <w:t xml:space="preserve">Autres réalisations et défis</w:t>
      </w:r>
    </w:p>
    <w:tbl>
      <w:tblPr>
        <w:tblW w:type="dxa" w:w="9906"/>
        <w:tblBorders>
          <w:top w:val="none" w:color="auto" w:sz="0"/>
          <w:left w:val="none" w:color="auto" w:sz="0"/>
          <w:bottom w:val="none" w:color="auto" w:sz="0"/>
          <w:right w:val="none" w:color="auto" w:sz="0"/>
          <w:insideH w:val="none" w:color="auto" w:sz="0"/>
          <w:insideV w:val="none" w:color="auto" w:sz="0"/>
        </w:tblBorders>
      </w:tblPr>
      <w:tblGrid>
        <w:gridCol w:w="4953"/>
        <w:gridCol w:w="4953"/>
      </w:tblGrid>
      <w:tr>
        <w:tc>
          <w:tcPr>
            <w:tcW w:type="dxa" w:w="4953"/>
            <w:tcMar>
              <w:right w:type="dxa" w:w="200"/>
            </w:tcMar>
          </w:tcPr>
          <w:p>
            <w:pPr>
              <w:pBdr>
                <w:bottom w:val="single" w:color="D1D5DB" w:sz="4" w:space="2"/>
              </w:pBdr>
              <w:spacing w:after="160"/>
            </w:pPr>
            <w:r>
              <w:rPr>
                <w:rFonts w:ascii="Arial" w:cs="Arial" w:eastAsia="Arial" w:hAnsi="Arial"/>
                <w:i/>
                <w:iCs/>
                <w:color w:val="6B7280"/>
                <w:sz w:val="18"/>
                <w:szCs w:val="18"/>
              </w:rPr>
              <w:t xml:space="preserve">Ex. : actions de sensibilisation et de communication avec les départements demandeurs pour restaurer la confiance dans la fonction logistique — lesquelles, avec quel résultat ?</w:t>
            </w:r>
          </w:p>
          <w:p>
            <w:pPr>
              <w:pBdr>
                <w:bottom w:val="single" w:color="D1D5DB" w:sz="4" w:space="2"/>
              </w:pBdr>
              <w:spacing w:after="160"/>
            </w:pPr>
            <w:r>
              <w:rPr>
                <w:rFonts w:ascii="Arial" w:cs="Arial" w:eastAsia="Arial" w:hAnsi="Arial"/>
              </w:rPr>
              <w:t xml:space="preserve"/>
            </w:r>
          </w:p>
        </w:tc>
        <w:tc>
          <w:tcPr>
            <w:tcW w:type="dxa" w:w="4953"/>
            <w:tcMar>
              <w:left w:type="dxa" w:w="200"/>
            </w:tcMar>
          </w:tcPr>
          <w:p>
            <w:pPr>
              <w:pBdr>
                <w:bottom w:val="single" w:color="D1D5DB" w:sz="4" w:space="2"/>
              </w:pBdr>
              <w:spacing w:after="160"/>
            </w:pPr>
            <w:r>
              <w:rPr>
                <w:rFonts w:ascii="Arial" w:cs="Arial" w:eastAsia="Arial" w:hAnsi="Arial"/>
                <w:i/>
                <w:iCs/>
                <w:color w:val="6B7280"/>
                <w:sz w:val="18"/>
                <w:szCs w:val="18"/>
              </w:rPr>
              <w:t xml:space="preserve">Ex. : outil de suivi partagé pérennisé (type tracker de requêtes ou de mouvements de flotte accessible à toute l'équipe) — lequel, pour quel usage ?</w:t>
            </w:r>
          </w:p>
          <w:p>
            <w:pPr>
              <w:pBdr>
                <w:bottom w:val="single" w:color="D1D5DB" w:sz="4" w:space="2"/>
              </w:pBdr>
              <w:spacing w:after="160"/>
            </w:pPr>
            <w:r>
              <w:rPr>
                <w:rFonts w:ascii="Arial" w:cs="Arial" w:eastAsia="Arial" w:hAnsi="Arial"/>
              </w:rPr>
              <w:t xml:space="preserve"/>
            </w:r>
          </w:p>
        </w:tc>
      </w:tr>
    </w:tbl>
    <w:p>
      <w:pPr>
        <w:spacing w:after="60" w:before="140"/>
      </w:pPr>
      <w:r>
        <w:rPr>
          <w:rFonts w:ascii="Arial" w:cs="Arial" w:eastAsia="Arial" w:hAnsi="Arial"/>
          <w:b/>
          <w:bCs/>
          <w:color w:val="1E3A8A"/>
          <w:sz w:val="19"/>
          <w:szCs w:val="19"/>
        </w:rPr>
        <w:t xml:space="preserve">Principaux enseignements à conserver</w:t>
      </w:r>
    </w:p>
    <w:p>
      <w:pPr>
        <w:pBdr>
          <w:bottom w:val="single" w:color="D1D5DB" w:sz="4" w:space="2"/>
        </w:pBdr>
        <w:spacing w:after="160"/>
      </w:pPr>
      <w:r>
        <w:rPr>
          <w:rFonts w:ascii="Arial" w:cs="Arial" w:eastAsia="Arial" w:hAnsi="Arial"/>
          <w:i/>
          <w:iCs/>
          <w:color w:val="6B7280"/>
          <w:sz w:val="18"/>
          <w:szCs w:val="18"/>
        </w:rPr>
        <w:t xml:space="preserve">Ex. : l'adéquation des infrastructures d'entreposage et de la flotte conditionne le respect des normes (chaîne du froid, capacité de stockage) — quel enseignement en tirez-vous cette année ?</w:t>
      </w:r>
    </w:p>
    <w:p>
      <w:pPr>
        <w:pBdr>
          <w:bottom w:val="single" w:color="D1D5DB" w:sz="4" w:space="2"/>
        </w:pBdr>
        <w:spacing w:after="160"/>
      </w:pPr>
      <w:r>
        <w:rPr>
          <w:rFonts w:ascii="Arial" w:cs="Arial" w:eastAsia="Arial" w:hAnsi="Arial"/>
        </w:rPr>
        <w:t xml:space="preserve"/>
      </w:r>
    </w:p>
    <w:p>
      <w:pPr>
        <w:pBdr>
          <w:bottom w:val="single" w:color="D1D5DB" w:sz="4" w:space="2"/>
        </w:pBdr>
        <w:spacing w:after="160"/>
      </w:pPr>
      <w:r>
        <w:rPr>
          <w:rFonts w:ascii="Arial" w:cs="Arial" w:eastAsia="Arial" w:hAnsi="Arial"/>
          <w:i/>
          <w:iCs/>
          <w:color w:val="6B7280"/>
          <w:sz w:val="18"/>
          <w:szCs w:val="18"/>
        </w:rPr>
        <w:t xml:space="preserve">Ex. : la séparation des fonctions est la clé de la conformité — matrice RACI et découplage entre gestion de flotte et gestion des stocks — qu'avez-vous observé sur ce point ?</w:t>
      </w:r>
    </w:p>
    <w:p>
      <w:pPr>
        <w:pBdr>
          <w:bottom w:val="single" w:color="D1D5DB" w:sz="4" w:space="2"/>
        </w:pBdr>
        <w:spacing w:after="160"/>
      </w:pPr>
      <w:r>
        <w:rPr>
          <w:rFonts w:ascii="Arial" w:cs="Arial" w:eastAsia="Arial" w:hAnsi="Arial"/>
        </w:rPr>
        <w:t xml:space="preserve"/>
      </w:r>
    </w:p>
    <w:p>
      <w:pPr>
        <w:pBdr>
          <w:bottom w:val="single" w:color="D1D5DB" w:sz="4" w:space="2"/>
        </w:pBdr>
        <w:spacing w:after="160"/>
      </w:pPr>
      <w:r>
        <w:rPr>
          <w:rFonts w:ascii="Arial" w:cs="Arial" w:eastAsia="Arial" w:hAnsi="Arial"/>
          <w:i/>
          <w:iCs/>
          <w:color w:val="6B7280"/>
          <w:sz w:val="18"/>
          <w:szCs w:val="18"/>
        </w:rPr>
        <w:t xml:space="preserve">Ex. : l'anticipation par la transparence — partager régulièrement l'état des stocks et de la flotte aux programmes neutralise la pression et leur permet d'anticiper — comment cela s'est-il vérifié ?</w:t>
      </w:r>
    </w:p>
    <w:p>
      <w:pPr>
        <w:pBdr>
          <w:bottom w:val="single" w:color="D1D5DB" w:sz="4" w:space="2"/>
        </w:pBdr>
        <w:spacing w:after="160"/>
      </w:pPr>
      <w:r>
        <w:rPr>
          <w:rFonts w:ascii="Arial" w:cs="Arial" w:eastAsia="Arial" w:hAnsi="Arial"/>
        </w:rPr>
        <w:t xml:space="preserve"/>
      </w:r>
    </w:p>
    <w:p>
      <w:pPr>
        <w:pBdr>
          <w:bottom w:val="single" w:color="047857" w:sz="6" w:space="4"/>
        </w:pBdr>
        <w:spacing w:after="100" w:before="260"/>
      </w:pPr>
      <w:r>
        <w:rPr>
          <w:rFonts w:ascii="Arial" w:cs="Arial" w:eastAsia="Arial" w:hAnsi="Arial"/>
          <w:b/>
          <w:bCs/>
          <w:color w:val="B45309"/>
          <w:sz w:val="22"/>
          <w:szCs w:val="22"/>
        </w:rPr>
        <w:t xml:space="preserve">3. </w:t>
      </w:r>
      <w:r>
        <w:rPr>
          <w:rFonts w:ascii="Arial" w:cs="Arial" w:eastAsia="Arial" w:hAnsi="Arial"/>
          <w:b/>
          <w:bCs/>
          <w:color w:val="1E3A8A"/>
          <w:sz w:val="22"/>
          <w:szCs w:val="22"/>
        </w:rPr>
        <w:t xml:space="preserve">Objectifs stratégiques de l'année à venir</w:t>
      </w:r>
    </w:p>
    <w:p>
      <w:pPr>
        <w:pBdr>
          <w:bottom w:val="single" w:color="D1D5DB" w:sz="4" w:space="2"/>
        </w:pBdr>
        <w:spacing w:after="160"/>
      </w:pPr>
      <w:r>
        <w:rPr>
          <w:rFonts w:ascii="Arial" w:cs="Arial" w:eastAsia="Arial" w:hAnsi="Arial"/>
          <w:i/>
          <w:iCs/>
          <w:color w:val="6B7280"/>
          <w:sz w:val="18"/>
          <w:szCs w:val="18"/>
        </w:rPr>
        <w:t xml:space="preserve">Objectifs retenus pour l'année à venir et méthode prévue pour les atteindre (jalons, indicateurs de suivi, ressources nécessaires).</w:t>
      </w:r>
    </w:p>
    <w:p>
      <w:pPr>
        <w:pBdr>
          <w:bottom w:val="single" w:color="D1D5DB" w:sz="4" w:space="2"/>
        </w:pBdr>
        <w:spacing w:after="160"/>
      </w:pPr>
      <w:r>
        <w:rPr>
          <w:rFonts w:ascii="Arial" w:cs="Arial" w:eastAsia="Arial" w:hAnsi="Arial"/>
        </w:rPr>
        <w:t xml:space="preserve"/>
      </w:r>
    </w:p>
    <w:p>
      <w:pPr>
        <w:pBdr>
          <w:bottom w:val="single" w:color="D1D5DB" w:sz="4" w:space="2"/>
        </w:pBdr>
        <w:spacing w:after="160"/>
      </w:pPr>
      <w:r>
        <w:rPr>
          <w:rFonts w:ascii="Arial" w:cs="Arial" w:eastAsia="Arial" w:hAnsi="Arial"/>
          <w:i/>
          <w:iCs/>
          <w:color w:val="6B7280"/>
          <w:sz w:val="18"/>
          <w:szCs w:val="18"/>
        </w:rPr>
        <w:t xml:space="preserve">Pourquoi ces objectifs sont-ils sélectionnés comme priorités ? Lien explicite avec les objectifs opérationnels des programmes et de la mission.</w:t>
      </w:r>
    </w:p>
    <w:p>
      <w:pPr>
        <w:pBdr>
          <w:bottom w:val="single" w:color="D1D5DB" w:sz="4" w:space="2"/>
        </w:pBdr>
        <w:spacing w:after="160"/>
      </w:pPr>
      <w:r>
        <w:rPr>
          <w:rFonts w:ascii="Arial" w:cs="Arial" w:eastAsia="Arial" w:hAnsi="Arial"/>
        </w:rPr>
        <w:t xml:space="preserve"/>
      </w:r>
    </w:p>
    <w:p>
      <w:pPr>
        <w:pBdr>
          <w:bottom w:val="single" w:color="D1D5DB" w:sz="4" w:space="2"/>
        </w:pBdr>
        <w:spacing w:after="160"/>
      </w:pPr>
      <w:r>
        <w:rPr>
          <w:rFonts w:ascii="Arial" w:cs="Arial" w:eastAsia="Arial" w:hAnsi="Arial"/>
          <w:i/>
          <w:iCs/>
          <w:color w:val="6B7280"/>
          <w:sz w:val="18"/>
          <w:szCs w:val="18"/>
        </w:rPr>
        <w:t xml:space="preserve">Objectifs à plus long terme (pluriannuels) si pertinent — ex. renouvellement progressif du parc véhicules, extension de la capacité d'entreposage.</w:t>
      </w:r>
    </w:p>
    <w:p>
      <w:pPr>
        <w:pBdr>
          <w:bottom w:val="single" w:color="D1D5DB" w:sz="4" w:space="2"/>
        </w:pBdr>
        <w:spacing w:after="160"/>
      </w:pPr>
      <w:r>
        <w:rPr>
          <w:rFonts w:ascii="Arial" w:cs="Arial" w:eastAsia="Arial" w:hAnsi="Arial"/>
        </w:rPr>
        <w:t xml:space="preserve"/>
      </w:r>
    </w:p>
    <w:p>
      <w:pPr>
        <w:pBdr>
          <w:bottom w:val="single" w:color="047857" w:sz="6" w:space="4"/>
        </w:pBdr>
        <w:spacing w:after="100" w:before="260"/>
      </w:pPr>
      <w:r>
        <w:rPr>
          <w:rFonts w:ascii="Arial" w:cs="Arial" w:eastAsia="Arial" w:hAnsi="Arial"/>
          <w:b/>
          <w:bCs/>
          <w:color w:val="B45309"/>
          <w:sz w:val="22"/>
          <w:szCs w:val="22"/>
        </w:rPr>
        <w:t xml:space="preserve">4. </w:t>
      </w:r>
      <w:r>
        <w:rPr>
          <w:rFonts w:ascii="Arial" w:cs="Arial" w:eastAsia="Arial" w:hAnsi="Arial"/>
          <w:b/>
          <w:bCs/>
          <w:color w:val="1E3A8A"/>
          <w:sz w:val="22"/>
          <w:szCs w:val="22"/>
        </w:rPr>
        <w:t xml:space="preserve">Ressources Humaines</w:t>
      </w:r>
    </w:p>
    <w:p>
      <w:pPr>
        <w:pBdr>
          <w:bottom w:val="single" w:color="D1D5DB" w:sz="4" w:space="2"/>
        </w:pBdr>
        <w:spacing w:after="160"/>
      </w:pPr>
      <w:r>
        <w:rPr>
          <w:rFonts w:ascii="Arial" w:cs="Arial" w:eastAsia="Arial" w:hAnsi="Arial"/>
          <w:i/>
          <w:iCs/>
          <w:color w:val="6B7280"/>
          <w:sz w:val="18"/>
          <w:szCs w:val="18"/>
        </w:rPr>
        <w:t xml:space="preserve">Référence à l'organigramme de l'équipe logistique (document séparé) : composition de l'équipe et lignes hiérarchiques.</w:t>
      </w:r>
    </w:p>
    <w:p>
      <w:pPr>
        <w:pBdr>
          <w:bottom w:val="single" w:color="D1D5DB" w:sz="4" w:space="2"/>
        </w:pBdr>
        <w:spacing w:after="160"/>
      </w:pPr>
      <w:r>
        <w:rPr>
          <w:rFonts w:ascii="Arial" w:cs="Arial" w:eastAsia="Arial" w:hAnsi="Arial"/>
        </w:rPr>
        <w:t xml:space="preserve"/>
      </w:r>
    </w:p>
    <w:p>
      <w:pPr>
        <w:pBdr>
          <w:bottom w:val="single" w:color="D1D5DB" w:sz="4" w:space="2"/>
        </w:pBdr>
        <w:spacing w:after="160"/>
      </w:pPr>
      <w:r>
        <w:rPr>
          <w:rFonts w:ascii="Arial" w:cs="Arial" w:eastAsia="Arial" w:hAnsi="Arial"/>
          <w:i/>
          <w:iCs/>
          <w:color w:val="6B7280"/>
          <w:sz w:val="18"/>
          <w:szCs w:val="18"/>
        </w:rPr>
        <w:t xml:space="preserve">Profils de staff international si applicable : niveau de poste, durée de la mission, mois FTE budgétés.</w:t>
      </w:r>
    </w:p>
    <w:p>
      <w:pPr>
        <w:pBdr>
          <w:bottom w:val="single" w:color="D1D5DB" w:sz="4" w:space="2"/>
        </w:pBdr>
        <w:spacing w:after="160"/>
      </w:pPr>
      <w:r>
        <w:rPr>
          <w:rFonts w:ascii="Arial" w:cs="Arial" w:eastAsia="Arial" w:hAnsi="Arial"/>
        </w:rPr>
        <w:t xml:space="preserve"/>
      </w:r>
    </w:p>
    <w:p>
      <w:pPr>
        <w:pBdr>
          <w:bottom w:val="single" w:color="D1D5DB" w:sz="4" w:space="2"/>
        </w:pBdr>
        <w:spacing w:after="160"/>
      </w:pPr>
      <w:r>
        <w:rPr>
          <w:rFonts w:ascii="Arial" w:cs="Arial" w:eastAsia="Arial" w:hAnsi="Arial"/>
          <w:i/>
          <w:iCs/>
          <w:color w:val="6B7280"/>
          <w:sz w:val="18"/>
          <w:szCs w:val="18"/>
        </w:rPr>
        <w:t xml:space="preserve">Profils de staff national : postes ajoutés, modifiés ou supprimés, niveau, mois FTE, justification opérationnelle.</w:t>
      </w:r>
    </w:p>
    <w:p>
      <w:pPr>
        <w:pBdr>
          <w:bottom w:val="single" w:color="D1D5DB" w:sz="4" w:space="2"/>
        </w:pBdr>
        <w:spacing w:after="160"/>
      </w:pPr>
      <w:r>
        <w:rPr>
          <w:rFonts w:ascii="Arial" w:cs="Arial" w:eastAsia="Arial" w:hAnsi="Arial"/>
        </w:rPr>
        <w:t xml:space="preserve"/>
      </w:r>
    </w:p>
    <w:p>
      <w:pPr>
        <w:pBdr>
          <w:bottom w:val="single" w:color="D1D5DB" w:sz="4" w:space="2"/>
        </w:pBdr>
        <w:spacing w:after="160"/>
      </w:pPr>
      <w:r>
        <w:rPr>
          <w:rFonts w:ascii="Arial" w:cs="Arial" w:eastAsia="Arial" w:hAnsi="Arial"/>
          <w:i/>
          <w:iCs/>
          <w:color w:val="6B7280"/>
          <w:sz w:val="18"/>
          <w:szCs w:val="18"/>
        </w:rPr>
        <w:t xml:space="preserve">Impact de ces mouvements sur le budget RH du département logistique.</w:t>
      </w:r>
    </w:p>
    <w:p>
      <w:pPr>
        <w:pBdr>
          <w:bottom w:val="single" w:color="D1D5DB" w:sz="4" w:space="2"/>
        </w:pBdr>
        <w:spacing w:after="160"/>
      </w:pPr>
      <w:r>
        <w:rPr>
          <w:rFonts w:ascii="Arial" w:cs="Arial" w:eastAsia="Arial" w:hAnsi="Arial"/>
        </w:rPr>
        <w:t xml:space="preserve"/>
      </w:r>
    </w:p>
    <w:p>
      <w:pPr>
        <w:pBdr>
          <w:bottom w:val="single" w:color="D1D5DB" w:sz="4" w:space="2"/>
        </w:pBdr>
        <w:spacing w:after="160"/>
      </w:pPr>
      <w:r>
        <w:rPr>
          <w:rFonts w:ascii="Arial" w:cs="Arial" w:eastAsia="Arial" w:hAnsi="Arial"/>
          <w:i/>
          <w:iCs/>
          <w:color w:val="6B7280"/>
          <w:sz w:val="18"/>
          <w:szCs w:val="18"/>
        </w:rPr>
        <w:t xml:space="preserve">Demande de support planifié au département référent (siège / desk régional) si applicable.</w:t>
      </w:r>
    </w:p>
    <w:p>
      <w:pPr>
        <w:pBdr>
          <w:bottom w:val="single" w:color="D1D5DB" w:sz="4" w:space="2"/>
        </w:pBdr>
        <w:spacing w:after="160"/>
      </w:pPr>
      <w:r>
        <w:rPr>
          <w:rFonts w:ascii="Arial" w:cs="Arial" w:eastAsia="Arial" w:hAnsi="Arial"/>
        </w:rPr>
        <w:t xml:space="preserve"/>
      </w:r>
    </w:p>
    <w:p>
      <w:pPr>
        <w:pBdr>
          <w:bottom w:val="single" w:color="047857" w:sz="6" w:space="4"/>
        </w:pBdr>
        <w:spacing w:after="100" w:before="260"/>
      </w:pPr>
      <w:r>
        <w:rPr>
          <w:rFonts w:ascii="Arial" w:cs="Arial" w:eastAsia="Arial" w:hAnsi="Arial"/>
          <w:b/>
          <w:bCs/>
          <w:color w:val="B45309"/>
          <w:sz w:val="22"/>
          <w:szCs w:val="22"/>
        </w:rPr>
        <w:t xml:space="preserve">5. </w:t>
      </w:r>
      <w:r>
        <w:rPr>
          <w:rFonts w:ascii="Arial" w:cs="Arial" w:eastAsia="Arial" w:hAnsi="Arial"/>
          <w:b/>
          <w:bCs/>
          <w:color w:val="1E3A8A"/>
          <w:sz w:val="22"/>
          <w:szCs w:val="22"/>
        </w:rPr>
        <w:t xml:space="preserve">Chronogramme</w:t>
      </w:r>
    </w:p>
    <w:tbl>
      <w:tblPr>
        <w:tblW w:type="dxa" w:w="9906"/>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5300"/>
        <w:gridCol w:w="2406"/>
      </w:tblGrid>
      <w:tr>
        <w:trPr>
          <w:tblHeader/>
        </w:trPr>
        <w:tc>
          <w:tcPr>
            <w:tcW w:type="dxa" w:w="2200"/>
            <w:shd w:fill="1E3A8A" w:color="auto" w:val="clear"/>
            <w:tcMar>
              <w:top w:type="dxa" w:w="80"/>
              <w:left w:type="dxa" w:w="120"/>
              <w:bottom w:type="dxa" w:w="80"/>
              <w:right w:type="dxa" w:w="120"/>
            </w:tcMar>
            <w:vAlign w:val="center"/>
          </w:tcPr>
          <w:p>
            <w:r>
              <w:rPr>
                <w:rFonts w:ascii="Arial" w:cs="Arial" w:eastAsia="Arial" w:hAnsi="Arial"/>
                <w:b/>
                <w:bCs/>
                <w:color w:val="FFFFFF"/>
                <w:sz w:val="17"/>
                <w:szCs w:val="17"/>
              </w:rPr>
              <w:t xml:space="preserve">Période</w:t>
            </w:r>
          </w:p>
        </w:tc>
        <w:tc>
          <w:tcPr>
            <w:tcW w:type="dxa" w:w="5300"/>
            <w:shd w:fill="1E3A8A" w:color="auto" w:val="clear"/>
            <w:tcMar>
              <w:top w:type="dxa" w:w="80"/>
              <w:left w:type="dxa" w:w="120"/>
              <w:bottom w:type="dxa" w:w="80"/>
              <w:right w:type="dxa" w:w="120"/>
            </w:tcMar>
            <w:vAlign w:val="center"/>
          </w:tcPr>
          <w:p>
            <w:r>
              <w:rPr>
                <w:rFonts w:ascii="Arial" w:cs="Arial" w:eastAsia="Arial" w:hAnsi="Arial"/>
                <w:b/>
                <w:bCs/>
                <w:color w:val="FFFFFF"/>
                <w:sz w:val="17"/>
                <w:szCs w:val="17"/>
              </w:rPr>
              <w:t xml:space="preserve">Jalon / échéance clé</w:t>
            </w:r>
          </w:p>
        </w:tc>
        <w:tc>
          <w:tcPr>
            <w:tcW w:type="dxa" w:w="2406"/>
            <w:shd w:fill="1E3A8A" w:color="auto" w:val="clear"/>
            <w:tcMar>
              <w:top w:type="dxa" w:w="80"/>
              <w:left w:type="dxa" w:w="120"/>
              <w:bottom w:type="dxa" w:w="80"/>
              <w:right w:type="dxa" w:w="120"/>
            </w:tcMar>
            <w:vAlign w:val="center"/>
          </w:tcPr>
          <w:p>
            <w:r>
              <w:rPr>
                <w:rFonts w:ascii="Arial" w:cs="Arial" w:eastAsia="Arial" w:hAnsi="Arial"/>
                <w:b/>
                <w:bCs/>
                <w:color w:val="FFFFFF"/>
                <w:sz w:val="17"/>
                <w:szCs w:val="17"/>
              </w:rPr>
              <w:t xml:space="preserve">Responsable</w:t>
            </w:r>
          </w:p>
        </w:tc>
      </w:tr>
      <w:tr>
        <w:tc>
          <w:tcPr>
            <w:tcW w:type="dxa" w:w="2200"/>
            <w:tcMar>
              <w:top w:type="dxa" w:w="80"/>
              <w:left w:type="dxa" w:w="120"/>
              <w:bottom w:type="dxa" w:w="80"/>
              <w:right w:type="dxa" w:w="120"/>
            </w:tcMar>
          </w:tcPr>
          <w:p>
            <w:r>
              <w:rPr>
                <w:rFonts w:ascii="Arial" w:cs="Arial" w:eastAsia="Arial" w:hAnsi="Arial"/>
                <w:i/>
                <w:iCs/>
                <w:color w:val="6B7280"/>
                <w:sz w:val="17"/>
                <w:szCs w:val="17"/>
              </w:rPr>
              <w:t xml:space="preserve">Ex. : T2</w:t>
            </w:r>
          </w:p>
        </w:tc>
        <w:tc>
          <w:tcPr>
            <w:tcW w:type="dxa" w:w="5300"/>
            <w:tcMar>
              <w:top w:type="dxa" w:w="80"/>
              <w:left w:type="dxa" w:w="120"/>
              <w:bottom w:type="dxa" w:w="80"/>
              <w:right w:type="dxa" w:w="120"/>
            </w:tcMar>
          </w:tcPr>
          <w:p>
            <w:r>
              <w:rPr>
                <w:rFonts w:ascii="Arial" w:cs="Arial" w:eastAsia="Arial" w:hAnsi="Arial"/>
                <w:i/>
                <w:iCs/>
                <w:color w:val="6B7280"/>
                <w:sz w:val="17"/>
                <w:szCs w:val="17"/>
              </w:rPr>
              <w:t xml:space="preserve">Ex. : révision technique annuelle de la flotte</w:t>
            </w:r>
          </w:p>
        </w:tc>
        <w:tc>
          <w:tcPr>
            <w:tcW w:type="dxa" w:w="2406"/>
            <w:tcMar>
              <w:top w:type="dxa" w:w="80"/>
              <w:left w:type="dxa" w:w="120"/>
              <w:bottom w:type="dxa" w:w="80"/>
              <w:right w:type="dxa" w:w="120"/>
            </w:tcMar>
          </w:tcPr>
          <w:p>
            <w:r>
              <w:rPr>
                <w:rFonts w:ascii="Arial" w:cs="Arial" w:eastAsia="Arial" w:hAnsi="Arial"/>
                <w:i/>
                <w:iCs/>
                <w:color w:val="6B7280"/>
                <w:sz w:val="17"/>
                <w:szCs w:val="17"/>
              </w:rPr>
              <w:t xml:space="preserve">Ex. : Fleet Manager</w:t>
            </w:r>
          </w:p>
        </w:tc>
      </w:tr>
      <w:tr>
        <w:tc>
          <w:tcPr>
            <w:tcW w:type="dxa" w:w="2200"/>
            <w:tcMar>
              <w:top w:type="dxa" w:w="80"/>
              <w:left w:type="dxa" w:w="120"/>
              <w:bottom w:type="dxa" w:w="80"/>
              <w:right w:type="dxa" w:w="120"/>
            </w:tcMar>
          </w:tcPr>
          <w:p>
            <w:r>
              <w:rPr>
                <w:rFonts w:ascii="Arial" w:cs="Arial" w:eastAsia="Arial" w:hAnsi="Arial"/>
                <w:i/>
                <w:iCs/>
                <w:color w:val="6B7280"/>
                <w:sz w:val="17"/>
                <w:szCs w:val="17"/>
              </w:rPr>
              <w:t xml:space="preserve"/>
            </w:r>
          </w:p>
        </w:tc>
        <w:tc>
          <w:tcPr>
            <w:tcW w:type="dxa" w:w="5300"/>
            <w:tcMar>
              <w:top w:type="dxa" w:w="80"/>
              <w:left w:type="dxa" w:w="120"/>
              <w:bottom w:type="dxa" w:w="80"/>
              <w:right w:type="dxa" w:w="120"/>
            </w:tcMar>
          </w:tcPr>
          <w:p>
            <w:r>
              <w:rPr>
                <w:rFonts w:ascii="Arial" w:cs="Arial" w:eastAsia="Arial" w:hAnsi="Arial"/>
                <w:i/>
                <w:iCs/>
                <w:color w:val="6B7280"/>
                <w:sz w:val="17"/>
                <w:szCs w:val="17"/>
              </w:rPr>
              <w:t xml:space="preserve"/>
            </w:r>
          </w:p>
        </w:tc>
        <w:tc>
          <w:tcPr>
            <w:tcW w:type="dxa" w:w="2406"/>
            <w:tcMar>
              <w:top w:type="dxa" w:w="80"/>
              <w:left w:type="dxa" w:w="120"/>
              <w:bottom w:type="dxa" w:w="80"/>
              <w:right w:type="dxa" w:w="120"/>
            </w:tcMar>
          </w:tcPr>
          <w:p>
            <w:r>
              <w:rPr>
                <w:rFonts w:ascii="Arial" w:cs="Arial" w:eastAsia="Arial" w:hAnsi="Arial"/>
                <w:i/>
                <w:iCs/>
                <w:color w:val="6B7280"/>
                <w:sz w:val="17"/>
                <w:szCs w:val="17"/>
              </w:rPr>
              <w:t xml:space="preserve"/>
            </w:r>
          </w:p>
        </w:tc>
      </w:tr>
      <w:tr>
        <w:tc>
          <w:tcPr>
            <w:tcW w:type="dxa" w:w="2200"/>
            <w:tcMar>
              <w:top w:type="dxa" w:w="80"/>
              <w:left w:type="dxa" w:w="120"/>
              <w:bottom w:type="dxa" w:w="80"/>
              <w:right w:type="dxa" w:w="120"/>
            </w:tcMar>
          </w:tcPr>
          <w:p>
            <w:r>
              <w:rPr>
                <w:rFonts w:ascii="Arial" w:cs="Arial" w:eastAsia="Arial" w:hAnsi="Arial"/>
                <w:i/>
                <w:iCs/>
                <w:color w:val="6B7280"/>
                <w:sz w:val="17"/>
                <w:szCs w:val="17"/>
              </w:rPr>
              <w:t xml:space="preserve"/>
            </w:r>
          </w:p>
        </w:tc>
        <w:tc>
          <w:tcPr>
            <w:tcW w:type="dxa" w:w="5300"/>
            <w:tcMar>
              <w:top w:type="dxa" w:w="80"/>
              <w:left w:type="dxa" w:w="120"/>
              <w:bottom w:type="dxa" w:w="80"/>
              <w:right w:type="dxa" w:w="120"/>
            </w:tcMar>
          </w:tcPr>
          <w:p>
            <w:r>
              <w:rPr>
                <w:rFonts w:ascii="Arial" w:cs="Arial" w:eastAsia="Arial" w:hAnsi="Arial"/>
                <w:i/>
                <w:iCs/>
                <w:color w:val="6B7280"/>
                <w:sz w:val="17"/>
                <w:szCs w:val="17"/>
              </w:rPr>
              <w:t xml:space="preserve"/>
            </w:r>
          </w:p>
        </w:tc>
        <w:tc>
          <w:tcPr>
            <w:tcW w:type="dxa" w:w="2406"/>
            <w:tcMar>
              <w:top w:type="dxa" w:w="80"/>
              <w:left w:type="dxa" w:w="120"/>
              <w:bottom w:type="dxa" w:w="80"/>
              <w:right w:type="dxa" w:w="120"/>
            </w:tcMar>
          </w:tcPr>
          <w:p>
            <w:r>
              <w:rPr>
                <w:rFonts w:ascii="Arial" w:cs="Arial" w:eastAsia="Arial" w:hAnsi="Arial"/>
                <w:i/>
                <w:iCs/>
                <w:color w:val="6B7280"/>
                <w:sz w:val="17"/>
                <w:szCs w:val="17"/>
              </w:rPr>
              <w:t xml:space="preserve"/>
            </w:r>
          </w:p>
        </w:tc>
      </w:tr>
      <w:tr>
        <w:tc>
          <w:tcPr>
            <w:tcW w:type="dxa" w:w="2200"/>
            <w:tcMar>
              <w:top w:type="dxa" w:w="80"/>
              <w:left w:type="dxa" w:w="120"/>
              <w:bottom w:type="dxa" w:w="80"/>
              <w:right w:type="dxa" w:w="120"/>
            </w:tcMar>
          </w:tcPr>
          <w:p>
            <w:r>
              <w:rPr>
                <w:rFonts w:ascii="Arial" w:cs="Arial" w:eastAsia="Arial" w:hAnsi="Arial"/>
                <w:i/>
                <w:iCs/>
                <w:color w:val="6B7280"/>
                <w:sz w:val="17"/>
                <w:szCs w:val="17"/>
              </w:rPr>
              <w:t xml:space="preserve"/>
            </w:r>
          </w:p>
        </w:tc>
        <w:tc>
          <w:tcPr>
            <w:tcW w:type="dxa" w:w="5300"/>
            <w:tcMar>
              <w:top w:type="dxa" w:w="80"/>
              <w:left w:type="dxa" w:w="120"/>
              <w:bottom w:type="dxa" w:w="80"/>
              <w:right w:type="dxa" w:w="120"/>
            </w:tcMar>
          </w:tcPr>
          <w:p>
            <w:r>
              <w:rPr>
                <w:rFonts w:ascii="Arial" w:cs="Arial" w:eastAsia="Arial" w:hAnsi="Arial"/>
                <w:i/>
                <w:iCs/>
                <w:color w:val="6B7280"/>
                <w:sz w:val="17"/>
                <w:szCs w:val="17"/>
              </w:rPr>
              <w:t xml:space="preserve"/>
            </w:r>
          </w:p>
        </w:tc>
        <w:tc>
          <w:tcPr>
            <w:tcW w:type="dxa" w:w="2406"/>
            <w:tcMar>
              <w:top w:type="dxa" w:w="80"/>
              <w:left w:type="dxa" w:w="120"/>
              <w:bottom w:type="dxa" w:w="80"/>
              <w:right w:type="dxa" w:w="120"/>
            </w:tcMar>
          </w:tcPr>
          <w:p>
            <w:r>
              <w:rPr>
                <w:rFonts w:ascii="Arial" w:cs="Arial" w:eastAsia="Arial" w:hAnsi="Arial"/>
                <w:i/>
                <w:iCs/>
                <w:color w:val="6B7280"/>
                <w:sz w:val="17"/>
                <w:szCs w:val="17"/>
              </w:rPr>
              <w:t xml:space="preserve"/>
            </w:r>
          </w:p>
        </w:tc>
      </w:tr>
      <w:tr>
        <w:tc>
          <w:tcPr>
            <w:tcW w:type="dxa" w:w="2200"/>
            <w:tcMar>
              <w:top w:type="dxa" w:w="80"/>
              <w:left w:type="dxa" w:w="120"/>
              <w:bottom w:type="dxa" w:w="80"/>
              <w:right w:type="dxa" w:w="120"/>
            </w:tcMar>
          </w:tcPr>
          <w:p>
            <w:r>
              <w:rPr>
                <w:rFonts w:ascii="Arial" w:cs="Arial" w:eastAsia="Arial" w:hAnsi="Arial"/>
                <w:i/>
                <w:iCs/>
                <w:color w:val="6B7280"/>
                <w:sz w:val="17"/>
                <w:szCs w:val="17"/>
              </w:rPr>
              <w:t xml:space="preserve"/>
            </w:r>
          </w:p>
        </w:tc>
        <w:tc>
          <w:tcPr>
            <w:tcW w:type="dxa" w:w="5300"/>
            <w:tcMar>
              <w:top w:type="dxa" w:w="80"/>
              <w:left w:type="dxa" w:w="120"/>
              <w:bottom w:type="dxa" w:w="80"/>
              <w:right w:type="dxa" w:w="120"/>
            </w:tcMar>
          </w:tcPr>
          <w:p>
            <w:r>
              <w:rPr>
                <w:rFonts w:ascii="Arial" w:cs="Arial" w:eastAsia="Arial" w:hAnsi="Arial"/>
                <w:i/>
                <w:iCs/>
                <w:color w:val="6B7280"/>
                <w:sz w:val="17"/>
                <w:szCs w:val="17"/>
              </w:rPr>
              <w:t xml:space="preserve"/>
            </w:r>
          </w:p>
        </w:tc>
        <w:tc>
          <w:tcPr>
            <w:tcW w:type="dxa" w:w="2406"/>
            <w:tcMar>
              <w:top w:type="dxa" w:w="80"/>
              <w:left w:type="dxa" w:w="120"/>
              <w:bottom w:type="dxa" w:w="80"/>
              <w:right w:type="dxa" w:w="120"/>
            </w:tcMar>
          </w:tcPr>
          <w:p>
            <w:r>
              <w:rPr>
                <w:rFonts w:ascii="Arial" w:cs="Arial" w:eastAsia="Arial" w:hAnsi="Arial"/>
                <w:i/>
                <w:iCs/>
                <w:color w:val="6B7280"/>
                <w:sz w:val="17"/>
                <w:szCs w:val="17"/>
              </w:rPr>
              <w:t xml:space="preserve"/>
            </w:r>
          </w:p>
        </w:tc>
      </w:tr>
      <w:tr>
        <w:tc>
          <w:tcPr>
            <w:tcW w:type="dxa" w:w="2200"/>
            <w:tcMar>
              <w:top w:type="dxa" w:w="80"/>
              <w:left w:type="dxa" w:w="120"/>
              <w:bottom w:type="dxa" w:w="80"/>
              <w:right w:type="dxa" w:w="120"/>
            </w:tcMar>
          </w:tcPr>
          <w:p>
            <w:r>
              <w:rPr>
                <w:rFonts w:ascii="Arial" w:cs="Arial" w:eastAsia="Arial" w:hAnsi="Arial"/>
                <w:i/>
                <w:iCs/>
                <w:color w:val="6B7280"/>
                <w:sz w:val="17"/>
                <w:szCs w:val="17"/>
              </w:rPr>
              <w:t xml:space="preserve"/>
            </w:r>
          </w:p>
        </w:tc>
        <w:tc>
          <w:tcPr>
            <w:tcW w:type="dxa" w:w="5300"/>
            <w:tcMar>
              <w:top w:type="dxa" w:w="80"/>
              <w:left w:type="dxa" w:w="120"/>
              <w:bottom w:type="dxa" w:w="80"/>
              <w:right w:type="dxa" w:w="120"/>
            </w:tcMar>
          </w:tcPr>
          <w:p>
            <w:r>
              <w:rPr>
                <w:rFonts w:ascii="Arial" w:cs="Arial" w:eastAsia="Arial" w:hAnsi="Arial"/>
                <w:i/>
                <w:iCs/>
                <w:color w:val="6B7280"/>
                <w:sz w:val="17"/>
                <w:szCs w:val="17"/>
              </w:rPr>
              <w:t xml:space="preserve"/>
            </w:r>
          </w:p>
        </w:tc>
        <w:tc>
          <w:tcPr>
            <w:tcW w:type="dxa" w:w="2406"/>
            <w:tcMar>
              <w:top w:type="dxa" w:w="80"/>
              <w:left w:type="dxa" w:w="120"/>
              <w:bottom w:type="dxa" w:w="80"/>
              <w:right w:type="dxa" w:w="120"/>
            </w:tcMar>
          </w:tcPr>
          <w:p>
            <w:r>
              <w:rPr>
                <w:rFonts w:ascii="Arial" w:cs="Arial" w:eastAsia="Arial" w:hAnsi="Arial"/>
                <w:i/>
                <w:iCs/>
                <w:color w:val="6B7280"/>
                <w:sz w:val="17"/>
                <w:szCs w:val="17"/>
              </w:rPr>
              <w:t xml:space="preserve"/>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2026-09-10T16:30:15.424Z</dcterms:created>
  <dcterms:modified xsi:type="dcterms:W3CDTF">2026-09-10T16:30:15.424Z</dcterms:modified>
</cp:coreProperties>
</file>

<file path=docProps/custom.xml><?xml version="1.0" encoding="utf-8"?>
<Properties xmlns="http://schemas.openxmlformats.org/officeDocument/2006/custom-properties" xmlns:vt="http://schemas.openxmlformats.org/officeDocument/2006/docPropsVTypes"/>
</file>