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— RAPPORT SIÈGE vs RAPPORT BAILLEUR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· Module 08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Objectif : produire, à partir des mêmes données du tableau de bord KPI (tableau-de-bord-kpi-supply-chain.xlsx), deux rapports distincts. Ne jamais envoyer le même document aux deux audiences — complétez séparément la Partie A et la Partie B ci-dessous.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906"/>
            <w:shd w:fill="047857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PARTIE A — RAPPORT INTERNE SIÈGE</w:t>
            </w:r>
          </w:p>
        </w:tc>
      </w:tr>
    </w:tbl>
    <w:p>
      <w:pPr>
        <w:pBdr>
          <w:left w:val="single" w:color="047857" w:sz="12" w:space="8"/>
        </w:pBdr>
        <w:shd w:fill="F3F4F6" w:color="auto" w:val="clear"/>
        <w:spacing w:after="200" w:before="120"/>
        <w:ind w:left="120"/>
      </w:pPr>
      <w:r>
        <w:rPr>
          <w:rFonts w:ascii="Arial" w:cs="Arial" w:eastAsia="Arial" w:hAnsi="Arial"/>
          <w:b/>
          <w:bCs/>
          <w:i/>
          <w:iCs/>
          <w:color w:val="1E3A8A"/>
          <w:sz w:val="18"/>
          <w:szCs w:val="18"/>
        </w:rPr>
        <w:t xml:space="preserve">Usage : desk / coordinateur pays. Ton attendu : opérationnel, détail actionnable, jargon interne toléré. Objectif : permettre au lecteur de savoir où intervenir cette semaine.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Résumé du mois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(mois / année)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Base / mission concernée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Synthèse en 2-3 phrases : tendance générale des 3 KPIs par rapport au mois précédent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KPIs détaillés par catégorie et par zone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Taux de rupture de stock — valeur globale, et détail par catégorie / entrepôt si écart notable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Délai d'approvisionnement moyen — valeur globale, et détail par catégorie / entrepôt si écart notable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Taux de conformité achats — valeur globale, et détail par catégorie / entrepôt si écart notable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Causes identifiées et actions correctives proposées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 chaque KPI en écart : cause probable (fournisseur, procédure interne, transport, dédouanement...)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corrective proposée, avec responsable et échéance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Points d'attention pour le mois suivant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identifiés à surveiller (rupture prévisible, fournisseur en difficulté, retard de transit en cours...)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3302"/>
            <w:tcMar>
              <w:left w:type="dxa" w:w="75"/>
              <w:right w:type="dxa" w:w="75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(coordinateur)</w:t>
            </w:r>
          </w:p>
        </w:tc>
        <w:tc>
          <w:tcPr>
            <w:tcW w:type="dxa" w:w="3302"/>
            <w:tcMar>
              <w:left w:type="dxa" w:w="15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p>
      <w:r>
        <w:br w:type="page"/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906"/>
            <w:shd w:fill="047857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PARTIE B — RAPPORT DE CONFORMITÉ BAILLEUR</w:t>
            </w:r>
          </w:p>
        </w:tc>
      </w:tr>
    </w:tbl>
    <w:p>
      <w:pPr>
        <w:pBdr>
          <w:left w:val="single" w:color="047857" w:sz="12" w:space="8"/>
        </w:pBdr>
        <w:shd w:fill="F3F4F6" w:color="auto" w:val="clear"/>
        <w:spacing w:after="200" w:before="120"/>
        <w:ind w:left="120"/>
      </w:pPr>
      <w:r>
        <w:rPr>
          <w:rFonts w:ascii="Arial" w:cs="Arial" w:eastAsia="Arial" w:hAnsi="Arial"/>
          <w:b/>
          <w:bCs/>
          <w:i/>
          <w:iCs/>
          <w:color w:val="1E3A8A"/>
          <w:sz w:val="18"/>
          <w:szCs w:val="18"/>
        </w:rPr>
        <w:t xml:space="preserve">Usage : bailleur institutionnel. Ton attendu : redevabilité, cadrage de conformité explicite, référence aux clauses de l'accord de financement. Minimum de détail opérationnel interne — pas de jargon logistique interne, pas de codes d'entrepôt ou d'ERP internes.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Résumé exécutif de la période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(trimestre / année)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Référence de l'accord de financement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Synthèse en 2-3 phrases : niveau global de performance et de conformité de la chaîne d'approvisionnement sur la période, en langage non technique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Indicateurs de performance clés (présentation simplifiée)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Taux de rupture de stock — valeur et tendance sur la période, sans détail d'entrepôt interne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Délai d'approvisionnement moyen — valeur et tendance sur la période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Taux de conformité achats — valeur et tendance, avec référence au seuil contractuel attendu si applicable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Écarts constatés et justification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Écart(s) identifié(s) par rapport à la procédure standard ou aux clauses de l'accord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Justification documentée (dérogation d'urgence, clause invoquée, référence au dossier archivé)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Impact sur le taux de conformité global de la période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Mesures correctives et engagements pour la période suivante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Mesures correctives engagées ou prévues pour éviter la récurrence de l'écart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Mar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3302"/>
            <w:tcMar>
              <w:left w:type="dxa" w:w="75"/>
              <w:right w:type="dxa" w:w="75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(Directeur pays / Responsable conformité)</w:t>
            </w:r>
          </w:p>
        </w:tc>
        <w:tc>
          <w:tcPr>
            <w:tcW w:type="dxa" w:w="3302"/>
            <w:tcMar>
              <w:left w:type="dxa" w:w="15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2026-08-31T20:57:48.371Z</dcterms:created>
  <dcterms:modified xsi:type="dcterms:W3CDTF">2026-08-31T20:57:48.372Z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