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E3A8A" w:color="auto" w:val="clear"/>
            <w:tcMar>
              <w:top w:type="dxa" w:w="200"/>
              <w:left w:type="dxa" w:w="200"/>
              <w:bottom w:type="dxa" w:w="200"/>
              <w:right w:type="dxa" w:w="200"/>
            </w:tcMar>
          </w:tcPr>
          <w:p>
            <w:pPr>
              <w:spacing w:after="60"/>
            </w:pPr>
            <w:r>
              <w:rPr>
                <w:rFonts w:ascii="Arial" w:cs="Arial" w:eastAsia="Arial" w:hAnsi="Arial"/>
                <w:b/>
                <w:bCs/>
                <w:color w:val="FFFFFF"/>
                <w:sz w:val="32"/>
                <w:szCs w:val="32"/>
              </w:rPr>
              <w:t xml:space="preserve">REGISTRE DE RELATIONS AVEC LES AUTORITES</w:t>
            </w:r>
          </w:p>
          <w:p>
            <w:r>
              <w:rPr>
                <w:rFonts w:ascii="Arial" w:cs="Arial" w:eastAsia="Arial" w:hAnsi="Arial"/>
                <w:i/>
                <w:iCs/>
                <w:color w:val="DBEAFE"/>
                <w:sz w:val="20"/>
                <w:szCs w:val="20"/>
              </w:rPr>
              <w:t xml:space="preserve">Formation en Logistique Humanitaire · Module 06 · BK-BOOST Ltd.</w:t>
            </w:r>
          </w:p>
        </w:tc>
      </w:tr>
    </w:tbl>
    <w:p>
      <w:pPr>
        <w:spacing w:after="200" w:before="200"/>
      </w:pPr>
      <w:r>
        <w:rPr>
          <w:rFonts w:ascii="Arial" w:cs="Arial" w:eastAsia="Arial" w:hAnsi="Arial"/>
          <w:i/>
          <w:iCs/>
          <w:color w:val="6B7280"/>
          <w:sz w:val="20"/>
          <w:szCs w:val="20"/>
        </w:rPr>
        <w:t xml:space="preserve">Objectif : consigner chaque interaction significative avec une autorite civile, douaniere ou militaire/securite, pour construire — et transmettre a vos collegues — une relation exploitable dans la duree, pas seulement au moment ou vous avez besoin d'un deblocage urgent.</w:t>
      </w:r>
    </w:p>
    <w:p>
      <w:pPr>
        <w:pBdr>
          <w:bottom w:val="single" w:color="047857" w:sz="8" w:space="4"/>
        </w:pBdr>
        <w:spacing w:after="60" w:before="260"/>
      </w:pPr>
      <w:r>
        <w:rPr>
          <w:rFonts w:ascii="Arial" w:cs="Arial" w:eastAsia="Arial" w:hAnsi="Arial"/>
          <w:b/>
          <w:bCs/>
          <w:color w:val="B45309"/>
          <w:sz w:val="24"/>
          <w:szCs w:val="24"/>
        </w:rPr>
        <w:t xml:space="preserve">1. </w:t>
      </w:r>
      <w:r>
        <w:rPr>
          <w:rFonts w:ascii="Arial" w:cs="Arial" w:eastAsia="Arial" w:hAnsi="Arial"/>
          <w:b/>
          <w:bCs/>
          <w:color w:val="1E3A8A"/>
          <w:sz w:val="24"/>
          <w:szCs w:val="24"/>
        </w:rPr>
        <w:t xml:space="preserve">Quand remplir ce registre</w:t>
      </w:r>
    </w:p>
    <w:p>
      <w:pPr>
        <w:spacing w:after="160"/>
      </w:pPr>
      <w:r>
        <w:rPr>
          <w:rFonts w:ascii="Arial" w:cs="Arial" w:eastAsia="Arial" w:hAnsi="Arial"/>
          <w:i/>
          <w:iCs/>
          <w:color w:val="6B7280"/>
          <w:sz w:val="18"/>
          <w:szCs w:val="18"/>
        </w:rPr>
        <w:t xml:space="preserve">Apres tout echange substantiel avec une douane, un ministere de tutelle, une autorite locale ou un checkpoint : une premiere prise de contact, une negociation d'acces, un engagement pris de part et d'autre, ou un changement de responsable identifie. Completez la ligne immediatement apres l'echange, tant que les details sont exacts — pas en fin de semaine de memoire.</w:t>
      </w:r>
    </w:p>
    <w:p>
      <w:pPr>
        <w:pBdr>
          <w:bottom w:val="single" w:color="047857" w:sz="8" w:space="4"/>
        </w:pBdr>
        <w:spacing w:after="60" w:before="260"/>
      </w:pPr>
      <w:r>
        <w:rPr>
          <w:rFonts w:ascii="Arial" w:cs="Arial" w:eastAsia="Arial" w:hAnsi="Arial"/>
          <w:b/>
          <w:bCs/>
          <w:color w:val="B45309"/>
          <w:sz w:val="24"/>
          <w:szCs w:val="24"/>
        </w:rPr>
        <w:t xml:space="preserve">2. </w:t>
      </w:r>
      <w:r>
        <w:rPr>
          <w:rFonts w:ascii="Arial" w:cs="Arial" w:eastAsia="Arial" w:hAnsi="Arial"/>
          <w:b/>
          <w:bCs/>
          <w:color w:val="1E3A8A"/>
          <w:sz w:val="24"/>
          <w:szCs w:val="24"/>
        </w:rPr>
        <w:t xml:space="preserve">Journal des interactions</w:t>
      </w:r>
    </w:p>
    <w:p>
      <w:pPr>
        <w:spacing w:after="160"/>
      </w:pPr>
      <w:r>
        <w:rPr>
          <w:rFonts w:ascii="Arial" w:cs="Arial" w:eastAsia="Arial" w:hAnsi="Arial"/>
          <w:i/>
          <w:iCs/>
          <w:color w:val="6B7280"/>
          <w:sz w:val="18"/>
          <w:szCs w:val="18"/>
        </w:rPr>
        <w:t xml:space="preserve">Une ligne par interaction. La premiere ligne ci-dessous est un exemple ; les lignes suivantes sont a completer au fil des echanges. Ce registre se transmet a votre remplacant ou successeur — il ne repart jamais de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9%"/>
            <w:tcBorders>
              <w:top w:val="single" w:color="D1D5DB" w:sz="4"/>
              <w:left w:val="single" w:color="D1D5DB" w:sz="4"/>
              <w:bottom w:val="single" w:color="D1D5DB" w:sz="4"/>
              <w:right w:val="single" w:color="D1D5DB" w:sz="4"/>
            </w:tcBorders>
            <w:shd w:fill="047857" w:color="auto" w:val="clear"/>
            <w:tcMar>
              <w:top w:type="dxa" w:w="100"/>
              <w:left w:type="dxa" w:w="100"/>
              <w:bottom w:type="dxa" w:w="100"/>
              <w:right w:type="dxa" w:w="100"/>
            </w:tcMar>
            <w:vAlign w:val="center"/>
          </w:tcPr>
          <w:p>
            <w:pPr>
              <w:jc w:val="center"/>
            </w:pPr>
            <w:r>
              <w:rPr>
                <w:rFonts w:ascii="Arial" w:cs="Arial" w:eastAsia="Arial" w:hAnsi="Arial"/>
                <w:b/>
                <w:bCs/>
                <w:color w:val="FFFFFF"/>
                <w:sz w:val="17"/>
                <w:szCs w:val="17"/>
              </w:rPr>
              <w:t xml:space="preserve">Date</w:t>
            </w:r>
          </w:p>
        </w:tc>
        <w:tc>
          <w:tcPr>
            <w:tcW w:type="pct" w:w="16%"/>
            <w:tcBorders>
              <w:top w:val="single" w:color="D1D5DB" w:sz="4"/>
              <w:left w:val="single" w:color="D1D5DB" w:sz="4"/>
              <w:bottom w:val="single" w:color="D1D5DB" w:sz="4"/>
              <w:right w:val="single" w:color="D1D5DB" w:sz="4"/>
            </w:tcBorders>
            <w:shd w:fill="047857" w:color="auto" w:val="clear"/>
            <w:tcMar>
              <w:top w:type="dxa" w:w="100"/>
              <w:left w:type="dxa" w:w="100"/>
              <w:bottom w:type="dxa" w:w="100"/>
              <w:right w:type="dxa" w:w="100"/>
            </w:tcMar>
            <w:vAlign w:val="center"/>
          </w:tcPr>
          <w:p>
            <w:pPr>
              <w:jc w:val="center"/>
            </w:pPr>
            <w:r>
              <w:rPr>
                <w:rFonts w:ascii="Arial" w:cs="Arial" w:eastAsia="Arial" w:hAnsi="Arial"/>
                <w:b/>
                <w:bCs/>
                <w:color w:val="FFFFFF"/>
                <w:sz w:val="17"/>
                <w:szCs w:val="17"/>
              </w:rPr>
              <w:t xml:space="preserve">Autorite / Entite</w:t>
            </w:r>
          </w:p>
        </w:tc>
        <w:tc>
          <w:tcPr>
            <w:tcW w:type="pct" w:w="16%"/>
            <w:tcBorders>
              <w:top w:val="single" w:color="D1D5DB" w:sz="4"/>
              <w:left w:val="single" w:color="D1D5DB" w:sz="4"/>
              <w:bottom w:val="single" w:color="D1D5DB" w:sz="4"/>
              <w:right w:val="single" w:color="D1D5DB" w:sz="4"/>
            </w:tcBorders>
            <w:shd w:fill="047857" w:color="auto" w:val="clear"/>
            <w:tcMar>
              <w:top w:type="dxa" w:w="100"/>
              <w:left w:type="dxa" w:w="100"/>
              <w:bottom w:type="dxa" w:w="100"/>
              <w:right w:type="dxa" w:w="100"/>
            </w:tcMar>
            <w:vAlign w:val="center"/>
          </w:tcPr>
          <w:p>
            <w:pPr>
              <w:jc w:val="center"/>
            </w:pPr>
            <w:r>
              <w:rPr>
                <w:rFonts w:ascii="Arial" w:cs="Arial" w:eastAsia="Arial" w:hAnsi="Arial"/>
                <w:b/>
                <w:bCs/>
                <w:color w:val="FFFFFF"/>
                <w:sz w:val="17"/>
                <w:szCs w:val="17"/>
              </w:rPr>
              <w:t xml:space="preserve">Contact (nom, fonction)</w:t>
            </w:r>
          </w:p>
        </w:tc>
        <w:tc>
          <w:tcPr>
            <w:tcW w:type="pct" w:w="19%"/>
            <w:tcBorders>
              <w:top w:val="single" w:color="D1D5DB" w:sz="4"/>
              <w:left w:val="single" w:color="D1D5DB" w:sz="4"/>
              <w:bottom w:val="single" w:color="D1D5DB" w:sz="4"/>
              <w:right w:val="single" w:color="D1D5DB" w:sz="4"/>
            </w:tcBorders>
            <w:shd w:fill="047857" w:color="auto" w:val="clear"/>
            <w:tcMar>
              <w:top w:type="dxa" w:w="100"/>
              <w:left w:type="dxa" w:w="100"/>
              <w:bottom w:type="dxa" w:w="100"/>
              <w:right w:type="dxa" w:w="100"/>
            </w:tcMar>
            <w:vAlign w:val="center"/>
          </w:tcPr>
          <w:p>
            <w:pPr>
              <w:jc w:val="center"/>
            </w:pPr>
            <w:r>
              <w:rPr>
                <w:rFonts w:ascii="Arial" w:cs="Arial" w:eastAsia="Arial" w:hAnsi="Arial"/>
                <w:b/>
                <w:bCs/>
                <w:color w:val="FFFFFF"/>
                <w:sz w:val="17"/>
                <w:szCs w:val="17"/>
              </w:rPr>
              <w:t xml:space="preserve">Nature de l'interaction</w:t>
            </w:r>
          </w:p>
        </w:tc>
        <w:tc>
          <w:tcPr>
            <w:tcW w:type="pct" w:w="22%"/>
            <w:tcBorders>
              <w:top w:val="single" w:color="D1D5DB" w:sz="4"/>
              <w:left w:val="single" w:color="D1D5DB" w:sz="4"/>
              <w:bottom w:val="single" w:color="D1D5DB" w:sz="4"/>
              <w:right w:val="single" w:color="D1D5DB" w:sz="4"/>
            </w:tcBorders>
            <w:shd w:fill="047857" w:color="auto" w:val="clear"/>
            <w:tcMar>
              <w:top w:type="dxa" w:w="100"/>
              <w:left w:type="dxa" w:w="100"/>
              <w:bottom w:type="dxa" w:w="100"/>
              <w:right w:type="dxa" w:w="100"/>
            </w:tcMar>
            <w:vAlign w:val="center"/>
          </w:tcPr>
          <w:p>
            <w:pPr>
              <w:jc w:val="center"/>
            </w:pPr>
            <w:r>
              <w:rPr>
                <w:rFonts w:ascii="Arial" w:cs="Arial" w:eastAsia="Arial" w:hAnsi="Arial"/>
                <w:b/>
                <w:bCs/>
                <w:color w:val="FFFFFF"/>
                <w:sz w:val="17"/>
                <w:szCs w:val="17"/>
              </w:rPr>
              <w:t xml:space="preserve">Engagements pris (nous / eux)</w:t>
            </w:r>
          </w:p>
        </w:tc>
        <w:tc>
          <w:tcPr>
            <w:tcW w:type="pct" w:w="18%"/>
            <w:tcBorders>
              <w:top w:val="single" w:color="D1D5DB" w:sz="4"/>
              <w:left w:val="single" w:color="D1D5DB" w:sz="4"/>
              <w:bottom w:val="single" w:color="D1D5DB" w:sz="4"/>
              <w:right w:val="single" w:color="D1D5DB" w:sz="4"/>
            </w:tcBorders>
            <w:shd w:fill="047857" w:color="auto" w:val="clear"/>
            <w:tcMar>
              <w:top w:type="dxa" w:w="100"/>
              <w:left w:type="dxa" w:w="100"/>
              <w:bottom w:type="dxa" w:w="100"/>
              <w:right w:type="dxa" w:w="100"/>
            </w:tcMar>
            <w:vAlign w:val="center"/>
          </w:tcPr>
          <w:p>
            <w:pPr>
              <w:jc w:val="center"/>
            </w:pPr>
            <w:r>
              <w:rPr>
                <w:rFonts w:ascii="Arial" w:cs="Arial" w:eastAsia="Arial" w:hAnsi="Arial"/>
                <w:b/>
                <w:bCs/>
                <w:color w:val="FFFFFF"/>
                <w:sz w:val="17"/>
                <w:szCs w:val="17"/>
              </w:rPr>
              <w:t xml:space="preserve">Suivi necessaire</w:t>
            </w:r>
          </w:p>
        </w:tc>
      </w:tr>
      <w:tr>
        <w:tc>
          <w:tcPr>
            <w:tcW w:type="pct" w:w="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iCs/>
                <w:color w:val="9CA3AF"/>
                <w:sz w:val="18"/>
                <w:szCs w:val="18"/>
              </w:rPr>
              <w:t xml:space="preserve">12/03/2026</w:t>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iCs/>
                <w:color w:val="9CA3AF"/>
                <w:sz w:val="18"/>
                <w:szCs w:val="18"/>
              </w:rPr>
              <w:t xml:space="preserve">Douane - poste frontiere de Sido</w:t>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iCs/>
                <w:color w:val="9CA3AF"/>
                <w:sz w:val="18"/>
                <w:szCs w:val="18"/>
              </w:rPr>
              <w:t xml:space="preserve">Cne A. Doungous, chef de poste</w:t>
            </w:r>
          </w:p>
        </w:tc>
        <w:tc>
          <w:tcPr>
            <w:tcW w:type="pct" w:w="1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iCs/>
                <w:color w:val="9CA3AF"/>
                <w:sz w:val="18"/>
                <w:szCs w:val="18"/>
              </w:rPr>
              <w:t xml:space="preserve">Visite de presentation suite a la prise de fonction du nouveau chef de poste ; presentation de notre mandat et de notre accord d'exoneration.</w:t>
            </w:r>
          </w:p>
        </w:tc>
        <w:tc>
          <w:tcPr>
            <w:tcW w:type="pct" w:w="22%"/>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iCs/>
                <w:color w:val="9CA3AF"/>
                <w:sz w:val="18"/>
                <w:szCs w:val="18"/>
              </w:rPr>
              <w:t xml:space="preserve">Nous : transmettre une copie de notre certificat d'exoneration. Eux : confirmer un delai indicatif de traitement de 3 jours ouvres pour un dossier complet.</w:t>
            </w:r>
          </w:p>
        </w:tc>
        <w:tc>
          <w:tcPr>
            <w:tcW w:type="pct" w:w="18%"/>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iCs/>
                <w:color w:val="9CA3AF"/>
                <w:sz w:val="18"/>
                <w:szCs w:val="18"/>
              </w:rPr>
              <w:t xml:space="preserve">Confirmer par ecrit (email) le delai annonce ; reprendre contact avant le prochain envoi prevu.</w:t>
            </w:r>
          </w:p>
        </w:tc>
      </w:tr>
      <w:tr>
        <w:tc>
          <w:tcPr>
            <w:tcW w:type="pct" w:w="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22%"/>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8%"/>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r>
      <w:tr>
        <w:tc>
          <w:tcPr>
            <w:tcW w:type="pct" w:w="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22%"/>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8%"/>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r>
      <w:tr>
        <w:tc>
          <w:tcPr>
            <w:tcW w:type="pct" w:w="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22%"/>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8%"/>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r>
      <w:tr>
        <w:tc>
          <w:tcPr>
            <w:tcW w:type="pct" w:w="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22%"/>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8%"/>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r>
      <w:tr>
        <w:tc>
          <w:tcPr>
            <w:tcW w:type="pct" w:w="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22%"/>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8%"/>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r>
      <w:tr>
        <w:tc>
          <w:tcPr>
            <w:tcW w:type="pct" w:w="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22%"/>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8%"/>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r>
      <w:tr>
        <w:tc>
          <w:tcPr>
            <w:tcW w:type="pct" w:w="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22%"/>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8%"/>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r>
      <w:tr>
        <w:tc>
          <w:tcPr>
            <w:tcW w:type="pct" w:w="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22%"/>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8%"/>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r>
      <w:tr>
        <w:tc>
          <w:tcPr>
            <w:tcW w:type="pct" w:w="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6%"/>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9%"/>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22%"/>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c>
          <w:tcPr>
            <w:tcW w:type="pct" w:w="18%"/>
            <w:tcBorders>
              <w:top w:val="single" w:color="D1D5DB" w:sz="4"/>
              <w:left w:val="single" w:color="D1D5DB" w:sz="4"/>
              <w:bottom w:val="single" w:color="D1D5DB" w:sz="4"/>
              <w:right w:val="single" w:color="D1D5DB" w:sz="4"/>
            </w:tcBorders>
            <w:tcMar>
              <w:top w:type="dxa" w:w="120"/>
              <w:left w:type="dxa" w:w="100"/>
              <w:bottom w:type="dxa" w:w="120"/>
              <w:right w:type="dxa" w:w="100"/>
            </w:tcMar>
            <w:vAlign w:val="top"/>
          </w:tcPr>
          <w:p>
            <w:r>
              <w:rPr>
                <w:rFonts w:ascii="Arial" w:cs="Arial" w:eastAsia="Arial" w:hAnsi="Arial"/>
                <w:i w:val="false"/>
                <w:iCs w:val="false"/>
                <w:color w:val="111827"/>
                <w:sz w:val="18"/>
                <w:szCs w:val="18"/>
              </w:rPr>
              <w:t xml:space="preserve"/>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2026-08-31T17:21:53.697Z</dcterms:created>
  <dcterms:modified xsi:type="dcterms:W3CDTF">2026-08-31T17:21:53.699Z</dcterms:modified>
</cp:coreProperties>
</file>

<file path=docProps/custom.xml><?xml version="1.0" encoding="utf-8"?>
<Properties xmlns="http://schemas.openxmlformats.org/officeDocument/2006/custom-properties" xmlns:vt="http://schemas.openxmlformats.org/officeDocument/2006/docPropsVTypes"/>
</file>