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906"/>
            <w:shd w:fill="1E3A8A" w:color="auto" w:val="clear"/>
            <w:tcMar>
              <w:top w:type="dxa" w:w="200"/>
              <w:left w:type="dxa" w:w="220"/>
              <w:bottom w:type="dxa" w:w="200"/>
              <w:right w:type="dxa" w:w="2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RAPPORT LOGISTIQUE MENSUEL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D1D5DB"/>
                <w:sz w:val="18"/>
                <w:szCs w:val="18"/>
              </w:rPr>
              <w:t xml:space="preserve">Formation en Logistique Humanitaire · Module 08 · BK-BOOST Ltd.</w:t>
            </w:r>
          </w:p>
        </w:tc>
      </w:tr>
    </w:tbl>
    <w:p>
      <w:pPr>
        <w:spacing w:after="120" w:before="16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Objectif : donner au siège une vision consolidée et comparable dans le temps de l'activité logistique du mois écoulé. À diffuser selon le calendrier convenu avec votre coordination — jamais avec retard.</w:t>
      </w:r>
    </w:p>
    <w:tbl>
      <w:tblPr>
        <w:tblW w:type="dxa" w:w="9906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00"/>
        <w:gridCol w:w="100"/>
      </w:tblGrid>
      <w:tr>
        <w:tc>
          <w:tcPr>
            <w:tcW w:type="dxa" w:w="4953"/>
            <w:tcMar>
              <w:right w:type="dxa" w:w="200"/>
            </w:tcMar>
          </w:tcPr>
          <w:p>
            <w:pPr>
              <w:pBdr>
                <w:bottom w:val="single" w:color="D1D5DB" w:sz="4" w:space="2"/>
              </w:pBdr>
              <w:spacing w:after="16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Mois / année couvert</w:t>
            </w:r>
          </w:p>
        </w:tc>
        <w:tc>
          <w:tcPr>
            <w:tcW w:type="dxa" w:w="4953"/>
            <w:tcMar>
              <w:left w:type="dxa" w:w="200"/>
            </w:tcMar>
          </w:tcPr>
          <w:p>
            <w:pPr>
              <w:pBdr>
                <w:bottom w:val="single" w:color="D1D5DB" w:sz="4" w:space="2"/>
              </w:pBdr>
              <w:spacing w:after="16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Pays et mission</w:t>
            </w:r>
          </w:p>
        </w:tc>
      </w:tr>
    </w:tbl>
    <w:tbl>
      <w:tblPr>
        <w:tblW w:type="dxa" w:w="9906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00"/>
        <w:gridCol w:w="100"/>
      </w:tblGrid>
      <w:tr>
        <w:tc>
          <w:tcPr>
            <w:tcW w:type="dxa" w:w="4953"/>
            <w:tcMar>
              <w:right w:type="dxa" w:w="200"/>
            </w:tcMar>
          </w:tcPr>
          <w:p>
            <w:pPr>
              <w:pBdr>
                <w:bottom w:val="single" w:color="D1D5DB" w:sz="4" w:space="2"/>
              </w:pBdr>
              <w:spacing w:after="16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Rédigé par (nom, fonction)</w:t>
            </w:r>
          </w:p>
        </w:tc>
        <w:tc>
          <w:tcPr>
            <w:tcW w:type="dxa" w:w="4953"/>
            <w:tcMar>
              <w:left w:type="dxa" w:w="200"/>
            </w:tcMar>
          </w:tcPr>
          <w:p>
            <w:pPr>
              <w:pBdr>
                <w:bottom w:val="single" w:color="D1D5DB" w:sz="4" w:space="2"/>
              </w:pBdr>
              <w:spacing w:after="16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Date de rédaction</w:t>
            </w:r>
          </w:p>
        </w:tc>
      </w:tr>
    </w:tbl>
    <w:p>
      <w:pPr>
        <w:pBdr>
          <w:bottom w:val="single" w:color="047857" w:sz="6" w:space="4"/>
        </w:pBdr>
        <w:spacing w:after="100" w:before="260"/>
      </w:pPr>
      <w:r>
        <w:rPr>
          <w:rFonts w:ascii="Arial" w:cs="Arial" w:eastAsia="Arial" w:hAnsi="Arial"/>
          <w:b/>
          <w:bCs/>
          <w:color w:val="B45309"/>
          <w:sz w:val="22"/>
          <w:szCs w:val="22"/>
        </w:rPr>
        <w:t xml:space="preserve">1. </w:t>
      </w: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Résumé exécutif du mois</w:t>
      </w:r>
    </w:p>
    <w:p>
      <w:pPr>
        <w:pBdr>
          <w:bottom w:val="single" w:color="D1D5DB" w:sz="4" w:space="2"/>
        </w:pBdr>
        <w:spacing w:after="16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Synthèse en 3 à 5 phrases : niveau d'activité global, tendance des KPI, faits marquants du mois.</w:t>
      </w:r>
    </w:p>
    <w:p>
      <w:pPr>
        <w:pBdr>
          <w:bottom w:val="single" w:color="D1D5DB" w:sz="4" w:space="2"/>
        </w:pBdr>
        <w:spacing w:after="16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/>
      </w:r>
    </w:p>
    <w:p>
      <w:pPr>
        <w:pBdr>
          <w:bottom w:val="single" w:color="D1D5DB" w:sz="4" w:space="2"/>
        </w:pBdr>
        <w:spacing w:after="16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/>
      </w:r>
    </w:p>
    <w:p>
      <w:pPr>
        <w:pBdr>
          <w:bottom w:val="single" w:color="047857" w:sz="6" w:space="4"/>
        </w:pBdr>
        <w:spacing w:after="100" w:before="260"/>
      </w:pPr>
      <w:r>
        <w:rPr>
          <w:rFonts w:ascii="Arial" w:cs="Arial" w:eastAsia="Arial" w:hAnsi="Arial"/>
          <w:b/>
          <w:bCs/>
          <w:color w:val="B45309"/>
          <w:sz w:val="22"/>
          <w:szCs w:val="22"/>
        </w:rPr>
        <w:t xml:space="preserve">2. </w:t>
      </w: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Indicateurs clés du mois (KPI)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B7280"/>
          <w:sz w:val="17"/>
          <w:szCs w:val="17"/>
        </w:rPr>
        <w:t xml:space="preserve">Valeurs reprises du tableau de bord KPI (tableau-de-bord-kpi-logistique.xlsx). Toujours comparer au mois précédent et au seuil d'alerte fixé avec la coordination.</w:t>
      </w:r>
    </w:p>
    <w:tbl>
      <w:tblPr>
        <w:tblW w:type="dxa" w:w="9906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D1D5DB" w:sz="4"/>
          <w:insideV w:val="single" w:color="D1D5DB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2600"/>
            <w:shd w:fill="04785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Indicateur</w:t>
            </w:r>
          </w:p>
        </w:tc>
        <w:tc>
          <w:tcPr>
            <w:tcW w:type="dxa" w:w="1500"/>
            <w:shd w:fill="04785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Valeur ce mois</w:t>
            </w:r>
          </w:p>
        </w:tc>
        <w:tc>
          <w:tcPr>
            <w:tcW w:type="dxa" w:w="1700"/>
            <w:shd w:fill="04785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Mois précédent</w:t>
            </w:r>
          </w:p>
        </w:tc>
        <w:tc>
          <w:tcPr>
            <w:tcW w:type="dxa" w:w="1500"/>
            <w:shd w:fill="04785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Seuil d'alerte</w:t>
            </w:r>
          </w:p>
        </w:tc>
        <w:tc>
          <w:tcPr>
            <w:tcW w:type="dxa" w:w="2606"/>
            <w:shd w:fill="04785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Commentaire / action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8A"/>
                <w:sz w:val="18"/>
                <w:szCs w:val="18"/>
              </w:rPr>
              <w:t xml:space="preserve">Taux de rupture de stock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à compléter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à compléter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à compléter</w:t>
            </w:r>
          </w:p>
        </w:tc>
        <w:tc>
          <w:tcPr>
            <w:tcW w:type="dxa" w:w="260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à compléter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8A"/>
                <w:sz w:val="18"/>
                <w:szCs w:val="18"/>
              </w:rPr>
              <w:t xml:space="preserve">Lead time moyen (jours)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à compléter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à compléter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à compléter</w:t>
            </w:r>
          </w:p>
        </w:tc>
        <w:tc>
          <w:tcPr>
            <w:tcW w:type="dxa" w:w="260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à compléter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8A"/>
                <w:sz w:val="18"/>
                <w:szCs w:val="18"/>
              </w:rPr>
              <w:t xml:space="preserve">Coût par bénéficiaire (USD)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à compléter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à compléter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à compléter</w:t>
            </w:r>
          </w:p>
        </w:tc>
        <w:tc>
          <w:tcPr>
            <w:tcW w:type="dxa" w:w="260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à compléter</w:t>
            </w:r>
          </w:p>
        </w:tc>
      </w:tr>
    </w:tbl>
    <w:p>
      <w:pPr>
        <w:spacing w:after="80" w:before="180"/>
      </w:pPr>
      <w:r>
        <w:rPr>
          <w:rFonts w:ascii="Arial" w:cs="Arial" w:eastAsia="Arial" w:hAnsi="Arial"/>
          <w:b/>
          <w:bCs/>
          <w:color w:val="1E3A8A"/>
          <w:sz w:val="19"/>
          <w:szCs w:val="19"/>
        </w:rPr>
        <w:t xml:space="preserve">Ventilation par site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6B7280"/>
          <w:sz w:val="17"/>
          <w:szCs w:val="17"/>
        </w:rPr>
        <w:t xml:space="preserve">Reprendre le récapitulatif par site de l'onglet "Tableau de bord KPI" — permet d'identifier le site qui tire la moyenne globale vers le haut ou vers le bas.</w:t>
      </w:r>
    </w:p>
    <w:tbl>
      <w:tblPr>
        <w:tblW w:type="dxa" w:w="9906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D1D5DB" w:sz="4"/>
          <w:insideV w:val="single" w:color="D1D5DB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200"/>
            <w:shd w:fill="04785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Site</w:t>
            </w:r>
          </w:p>
        </w:tc>
        <w:tc>
          <w:tcPr>
            <w:tcW w:type="dxa" w:w="2000"/>
            <w:shd w:fill="04785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Taux de rupture</w:t>
            </w:r>
          </w:p>
        </w:tc>
        <w:tc>
          <w:tcPr>
            <w:tcW w:type="dxa" w:w="2400"/>
            <w:shd w:fill="04785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Lead time moyen (j)</w:t>
            </w:r>
          </w:p>
        </w:tc>
        <w:tc>
          <w:tcPr>
            <w:tcW w:type="dxa" w:w="2306"/>
            <w:shd w:fill="04785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Coût / bénéficiaire (USD)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à compléter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à compléter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à compléter</w:t>
            </w:r>
          </w:p>
        </w:tc>
        <w:tc>
          <w:tcPr>
            <w:tcW w:type="dxa" w:w="230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à compléter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à compléter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à compléter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à compléter</w:t>
            </w:r>
          </w:p>
        </w:tc>
        <w:tc>
          <w:tcPr>
            <w:tcW w:type="dxa" w:w="230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à compléter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à compléter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à compléter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à compléter</w:t>
            </w:r>
          </w:p>
        </w:tc>
        <w:tc>
          <w:tcPr>
            <w:tcW w:type="dxa" w:w="230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à compléter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à compléter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à compléter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à compléter</w:t>
            </w:r>
          </w:p>
        </w:tc>
        <w:tc>
          <w:tcPr>
            <w:tcW w:type="dxa" w:w="230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à compléter</w:t>
            </w:r>
          </w:p>
        </w:tc>
      </w:tr>
    </w:tbl>
    <w:p>
      <w:pPr>
        <w:pBdr>
          <w:bottom w:val="single" w:color="047857" w:sz="6" w:space="4"/>
        </w:pBdr>
        <w:spacing w:after="100" w:before="260"/>
      </w:pPr>
      <w:r>
        <w:rPr>
          <w:rFonts w:ascii="Arial" w:cs="Arial" w:eastAsia="Arial" w:hAnsi="Arial"/>
          <w:b/>
          <w:bCs/>
          <w:color w:val="B45309"/>
          <w:sz w:val="22"/>
          <w:szCs w:val="22"/>
        </w:rPr>
        <w:t xml:space="preserve">3. </w:t>
      </w: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Incidents et risques majeurs du mois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6B7280"/>
          <w:sz w:val="17"/>
          <w:szCs w:val="17"/>
        </w:rPr>
        <w:t xml:space="preserve">Lister tout incident significatif (sécuritaire, mécanique, rupture critique, retard de dédouanement) — y compris ceux ayant déjà fait l'objet d'un SitRep séparé en cours de mois.</w:t>
      </w:r>
    </w:p>
    <w:tbl>
      <w:tblPr>
        <w:tblW w:type="dxa" w:w="9906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D1D5DB" w:sz="4"/>
          <w:insideV w:val="single" w:color="D1D5DB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700"/>
            <w:shd w:fill="04785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N°</w:t>
            </w:r>
          </w:p>
        </w:tc>
        <w:tc>
          <w:tcPr>
            <w:tcW w:type="dxa" w:w="2200"/>
            <w:shd w:fill="04785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Nature de l'incident</w:t>
            </w:r>
          </w:p>
        </w:tc>
        <w:tc>
          <w:tcPr>
            <w:tcW w:type="dxa" w:w="1500"/>
            <w:shd w:fill="04785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Site</w:t>
            </w:r>
          </w:p>
        </w:tc>
        <w:tc>
          <w:tcPr>
            <w:tcW w:type="dxa" w:w="1300"/>
            <w:shd w:fill="04785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4206"/>
            <w:shd w:fill="04785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 et action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8A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à compléter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à compléter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à compléter</w:t>
            </w:r>
          </w:p>
        </w:tc>
        <w:tc>
          <w:tcPr>
            <w:tcW w:type="dxa" w:w="420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à compléter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8A"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à compléter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à compléter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à compléter</w:t>
            </w:r>
          </w:p>
        </w:tc>
        <w:tc>
          <w:tcPr>
            <w:tcW w:type="dxa" w:w="420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à compléter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8A"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à compléter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à compléter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à compléter</w:t>
            </w:r>
          </w:p>
        </w:tc>
        <w:tc>
          <w:tcPr>
            <w:tcW w:type="dxa" w:w="420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à compléter</w:t>
            </w:r>
          </w:p>
        </w:tc>
      </w:tr>
    </w:tbl>
    <w:p>
      <w:pPr>
        <w:pBdr>
          <w:bottom w:val="single" w:color="047857" w:sz="6" w:space="4"/>
        </w:pBdr>
        <w:spacing w:after="100" w:before="260"/>
      </w:pPr>
      <w:r>
        <w:rPr>
          <w:rFonts w:ascii="Arial" w:cs="Arial" w:eastAsia="Arial" w:hAnsi="Arial"/>
          <w:b/>
          <w:bCs/>
          <w:color w:val="B45309"/>
          <w:sz w:val="22"/>
          <w:szCs w:val="22"/>
        </w:rPr>
        <w:t xml:space="preserve">4. </w:t>
      </w: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État de la flotte, de l'entrepôt et de la chaîne du froid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E3A8A"/>
          <w:sz w:val="19"/>
          <w:szCs w:val="19"/>
        </w:rPr>
        <w:t xml:space="preserve">Flotte</w:t>
      </w:r>
    </w:p>
    <w:tbl>
      <w:tblPr>
        <w:tblW w:type="dxa" w:w="9906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D1D5DB" w:sz="4"/>
          <w:insideV w:val="single" w:color="D1D5DB" w:sz="4"/>
        </w:tblBorders>
      </w:tblPr>
      <w:tblGrid>
        <w:gridCol w:w="100"/>
        <w:gridCol w:w="100"/>
        <w:gridCol w:w="100"/>
      </w:tblGrid>
      <w:tr>
        <w:tc>
          <w:tcPr>
            <w:tcW w:type="dxa" w:w="3300"/>
            <w:shd w:fill="04785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Indicateur</w:t>
            </w:r>
          </w:p>
        </w:tc>
        <w:tc>
          <w:tcPr>
            <w:tcW w:type="dxa" w:w="2300"/>
            <w:shd w:fill="04785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Valeur / état</w:t>
            </w:r>
          </w:p>
        </w:tc>
        <w:tc>
          <w:tcPr>
            <w:tcW w:type="dxa" w:w="4306"/>
            <w:shd w:fill="04785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Commentaire</w:t>
            </w:r>
          </w:p>
        </w:tc>
      </w:tr>
      <w:tr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8A"/>
                <w:sz w:val="18"/>
                <w:szCs w:val="18"/>
              </w:rPr>
              <w:t xml:space="preserve">Véhicules opérationnels / immobilisés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à compléter</w:t>
            </w:r>
          </w:p>
        </w:tc>
        <w:tc>
          <w:tcPr>
            <w:tcW w:type="dxa" w:w="430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à compléter</w:t>
            </w:r>
          </w:p>
        </w:tc>
      </w:tr>
      <w:tr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8A"/>
                <w:sz w:val="18"/>
                <w:szCs w:val="18"/>
              </w:rPr>
              <w:t xml:space="preserve">Kilométrage cumulé du mois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à compléter</w:t>
            </w:r>
          </w:p>
        </w:tc>
        <w:tc>
          <w:tcPr>
            <w:tcW w:type="dxa" w:w="430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à compléter</w:t>
            </w:r>
          </w:p>
        </w:tc>
      </w:tr>
      <w:tr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8A"/>
                <w:sz w:val="18"/>
                <w:szCs w:val="18"/>
              </w:rPr>
              <w:t xml:space="preserve">Incidents mécaniques ou accidents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à compléter</w:t>
            </w:r>
          </w:p>
        </w:tc>
        <w:tc>
          <w:tcPr>
            <w:tcW w:type="dxa" w:w="430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à compléter</w:t>
            </w:r>
          </w:p>
        </w:tc>
      </w:tr>
    </w:tbl>
    <w:p>
      <w:pPr>
        <w:spacing w:after="80" w:before="180"/>
      </w:pPr>
      <w:r>
        <w:rPr>
          <w:rFonts w:ascii="Arial" w:cs="Arial" w:eastAsia="Arial" w:hAnsi="Arial"/>
          <w:b/>
          <w:bCs/>
          <w:color w:val="1E3A8A"/>
          <w:sz w:val="19"/>
          <w:szCs w:val="19"/>
        </w:rPr>
        <w:t xml:space="preserve">Entrepôt</w:t>
      </w:r>
    </w:p>
    <w:tbl>
      <w:tblPr>
        <w:tblW w:type="dxa" w:w="9906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D1D5DB" w:sz="4"/>
          <w:insideV w:val="single" w:color="D1D5DB" w:sz="4"/>
        </w:tblBorders>
      </w:tblPr>
      <w:tblGrid>
        <w:gridCol w:w="100"/>
        <w:gridCol w:w="100"/>
        <w:gridCol w:w="100"/>
      </w:tblGrid>
      <w:tr>
        <w:tc>
          <w:tcPr>
            <w:tcW w:type="dxa" w:w="3300"/>
            <w:shd w:fill="04785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Indicateur</w:t>
            </w:r>
          </w:p>
        </w:tc>
        <w:tc>
          <w:tcPr>
            <w:tcW w:type="dxa" w:w="2300"/>
            <w:shd w:fill="04785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Valeur / état</w:t>
            </w:r>
          </w:p>
        </w:tc>
        <w:tc>
          <w:tcPr>
            <w:tcW w:type="dxa" w:w="4306"/>
            <w:shd w:fill="04785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Commentaire</w:t>
            </w:r>
          </w:p>
        </w:tc>
      </w:tr>
      <w:tr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8A"/>
                <w:sz w:val="18"/>
                <w:szCs w:val="18"/>
              </w:rPr>
              <w:t xml:space="preserve">Taux d'occupation de l'entrepôt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à compléter</w:t>
            </w:r>
          </w:p>
        </w:tc>
        <w:tc>
          <w:tcPr>
            <w:tcW w:type="dxa" w:w="430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à compléter</w:t>
            </w:r>
          </w:p>
        </w:tc>
      </w:tr>
      <w:tr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8A"/>
                <w:sz w:val="18"/>
                <w:szCs w:val="18"/>
              </w:rPr>
              <w:t xml:space="preserve">Écarts d'inventaire constatés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à compléter</w:t>
            </w:r>
          </w:p>
        </w:tc>
        <w:tc>
          <w:tcPr>
            <w:tcW w:type="dxa" w:w="430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à compléter</w:t>
            </w:r>
          </w:p>
        </w:tc>
      </w:tr>
      <w:tr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8A"/>
                <w:sz w:val="18"/>
                <w:szCs w:val="18"/>
              </w:rPr>
              <w:t xml:space="preserve">Conditions de stockage (température, humidité, sécurité)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à compléter</w:t>
            </w:r>
          </w:p>
        </w:tc>
        <w:tc>
          <w:tcPr>
            <w:tcW w:type="dxa" w:w="430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à compléter</w:t>
            </w:r>
          </w:p>
        </w:tc>
      </w:tr>
    </w:tbl>
    <w:p>
      <w:pPr>
        <w:spacing w:after="80" w:before="180"/>
      </w:pPr>
      <w:r>
        <w:rPr>
          <w:rFonts w:ascii="Arial" w:cs="Arial" w:eastAsia="Arial" w:hAnsi="Arial"/>
          <w:b/>
          <w:bCs/>
          <w:color w:val="1E3A8A"/>
          <w:sz w:val="19"/>
          <w:szCs w:val="19"/>
        </w:rPr>
        <w:t xml:space="preserve">Chaîne du froid</w:t>
      </w:r>
    </w:p>
    <w:tbl>
      <w:tblPr>
        <w:tblW w:type="dxa" w:w="9906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D1D5DB" w:sz="4"/>
          <w:insideV w:val="single" w:color="D1D5DB" w:sz="4"/>
        </w:tblBorders>
      </w:tblPr>
      <w:tblGrid>
        <w:gridCol w:w="100"/>
        <w:gridCol w:w="100"/>
        <w:gridCol w:w="100"/>
      </w:tblGrid>
      <w:tr>
        <w:tc>
          <w:tcPr>
            <w:tcW w:type="dxa" w:w="3300"/>
            <w:shd w:fill="04785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Indicateur</w:t>
            </w:r>
          </w:p>
        </w:tc>
        <w:tc>
          <w:tcPr>
            <w:tcW w:type="dxa" w:w="2300"/>
            <w:shd w:fill="04785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Valeur / état</w:t>
            </w:r>
          </w:p>
        </w:tc>
        <w:tc>
          <w:tcPr>
            <w:tcW w:type="dxa" w:w="4306"/>
            <w:shd w:fill="04785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Commentaire</w:t>
            </w:r>
          </w:p>
        </w:tc>
      </w:tr>
      <w:tr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8A"/>
                <w:sz w:val="18"/>
                <w:szCs w:val="18"/>
              </w:rPr>
              <w:t xml:space="preserve">Continuité de la chaîne du froid (ruptures enregistrées)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à compléter</w:t>
            </w:r>
          </w:p>
        </w:tc>
        <w:tc>
          <w:tcPr>
            <w:tcW w:type="dxa" w:w="430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à compléter</w:t>
            </w:r>
          </w:p>
        </w:tc>
      </w:tr>
      <w:tr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8A"/>
                <w:sz w:val="18"/>
                <w:szCs w:val="18"/>
              </w:rPr>
              <w:t xml:space="preserve">État et entretien des équipements frigorifiques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à compléter</w:t>
            </w:r>
          </w:p>
        </w:tc>
        <w:tc>
          <w:tcPr>
            <w:tcW w:type="dxa" w:w="430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à compléter</w:t>
            </w:r>
          </w:p>
        </w:tc>
      </w:tr>
    </w:tbl>
    <w:p>
      <w:pPr>
        <w:pBdr>
          <w:bottom w:val="single" w:color="047857" w:sz="6" w:space="4"/>
        </w:pBdr>
        <w:spacing w:after="100" w:before="260"/>
      </w:pPr>
      <w:r>
        <w:rPr>
          <w:rFonts w:ascii="Arial" w:cs="Arial" w:eastAsia="Arial" w:hAnsi="Arial"/>
          <w:b/>
          <w:bCs/>
          <w:color w:val="B45309"/>
          <w:sz w:val="22"/>
          <w:szCs w:val="22"/>
        </w:rPr>
        <w:t xml:space="preserve">5. </w:t>
      </w: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Priorités logistiques pour le mois suivant</w:t>
      </w:r>
    </w:p>
    <w:p>
      <w:pPr>
        <w:pBdr>
          <w:bottom w:val="single" w:color="D1D5DB" w:sz="4" w:space="2"/>
        </w:pBdr>
        <w:spacing w:after="16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Priorité 1 — action, responsable, échéance.</w:t>
      </w:r>
    </w:p>
    <w:p>
      <w:pPr>
        <w:pBdr>
          <w:bottom w:val="single" w:color="D1D5DB" w:sz="4" w:space="2"/>
        </w:pBdr>
        <w:spacing w:after="16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Priorité 2 — action, responsable, échéance.</w:t>
      </w:r>
    </w:p>
    <w:p>
      <w:pPr>
        <w:pBdr>
          <w:bottom w:val="single" w:color="D1D5DB" w:sz="4" w:space="2"/>
        </w:pBdr>
        <w:spacing w:after="16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Priorité 3 — action, responsable, échéance.</w:t>
      </w:r>
    </w:p>
    <w:p>
      <w:pPr>
        <w:pBdr>
          <w:top w:val="single" w:color="D1D5DB" w:sz="4" w:space="8"/>
        </w:pBdr>
        <w:spacing w:before="300"/>
      </w:pPr>
    </w:p>
    <w:tbl>
      <w:tblPr>
        <w:tblW w:type="dxa" w:w="9906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00"/>
        <w:gridCol w:w="100"/>
      </w:tblGrid>
      <w:tr>
        <w:tc>
          <w:tcPr>
            <w:tcW w:type="dxa" w:w="4953"/>
            <w:tcMar>
              <w:right w:type="dxa" w:w="200"/>
            </w:tcMar>
          </w:tcPr>
          <w:p>
            <w:pPr>
              <w:pBdr>
                <w:bottom w:val="single" w:color="D1D5DB" w:sz="4" w:space="2"/>
              </w:pBdr>
              <w:spacing w:after="16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Validé par (coordinateur logistique)</w:t>
            </w:r>
          </w:p>
        </w:tc>
        <w:tc>
          <w:tcPr>
            <w:tcW w:type="dxa" w:w="4953"/>
            <w:tcMar>
              <w:left w:type="dxa" w:w="200"/>
            </w:tcMar>
          </w:tcPr>
          <w:p>
            <w:pPr>
              <w:pBdr>
                <w:bottom w:val="single" w:color="D1D5DB" w:sz="4" w:space="2"/>
              </w:pBdr>
              <w:spacing w:after="16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Date d'envoi au siège</w:t>
            </w:r>
          </w:p>
        </w:tc>
      </w:tr>
    </w:tbl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2026-08-31T17:23:59.019Z</dcterms:created>
  <dcterms:modified xsi:type="dcterms:W3CDTF">2026-08-31T17:23:59.020Z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