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1E3A8A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BIBLIOTHÈQUE DE PROMPTS — CRÉATION DE SITE WEB &amp; ITÉRATION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Intelligence Artificielle · Module 13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disposer d'un prompt de génération complet prêt à personnaliser, et d'une bibliothèque de formulations de correction efficaces, classées par type de problème. À utiliser avec Lovable, v0, Bolt ou Claude Code — voir le guide pratique de ce module.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Prompt de génération complète (à personnaliser)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6B7280"/>
          <w:sz w:val="17"/>
          <w:szCs w:val="17"/>
        </w:rPr>
        <w:t xml:space="preserve">Remplacez chaque élément entre crochets par les informations de votre propre cahier des charges, puis collez ce prompt tel quel dans l'outil no-code/IA choisi.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9906"/>
      </w:tblGrid>
      <w:tr>
        <w:tc>
          <w:tcPr>
            <w:tcW w:type="dxa" w:w="9906"/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Tu es un générateur de site web professionnel. Objectif du site : [décrire l'objectif précis, ex. présenter une activité et générer des prises de contact qualifiées]. Pages nécessaires : [lister les pages, ex. accueil, services, à propos, contact]. Fonctionnalités indispensables : [lister les fonctionnalités non négociables pour cette première version, ex. formulaire de contact fonctionnel, menu clair, affichage correct sur mobile]. Fonctionnalités secondaires qui peuvent attendre une version 2 : [lister ce qui peut être ajouté plus tard, ex. blog, prise de rendez-vous en ligne]. Style visuel : [décrire l'ambiance et les couleurs souhaitées, avec si possible une référence de site existant]. Public cible : [décrire précisément qui visitera ce site et dans quel contexte, ex. depuis un smartphone, en quelques minutes]. Ne génère aucune des fonctionnalités listées comme secondaires dans cette première version.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Bibliothèque de prompts d'itération par type de correction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6B7280"/>
          <w:sz w:val="17"/>
          <w:szCs w:val="17"/>
        </w:rPr>
        <w:t xml:space="preserve">Une demande de correction efficace nomme toujours l'élément concerné, l'état actuel constaté et le résultat attendu — jamais un jugement général.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900"/>
        <w:gridCol w:w="3800"/>
        <w:gridCol w:w="4206"/>
      </w:tblGrid>
      <w:tr>
        <w:trPr>
          <w:tblHeader/>
        </w:trPr>
        <w:tc>
          <w:tcPr>
            <w:tcW w:type="dxa" w:w="1900"/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de correction</w:t>
            </w:r>
          </w:p>
        </w:tc>
        <w:tc>
          <w:tcPr>
            <w:tcW w:type="dxa" w:w="3800"/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Formulation vague à éviter</w:t>
            </w:r>
          </w:p>
        </w:tc>
        <w:tc>
          <w:tcPr>
            <w:tcW w:type="dxa" w:w="4206"/>
            <w:shd w:fill="0478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Formulation précise à utiliser (méthode STAR condensée)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7"/>
                <w:szCs w:val="17"/>
              </w:rPr>
              <w:t xml:space="preserve">Mise en page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91C1C"/>
                <w:sz w:val="17"/>
                <w:szCs w:val="17"/>
              </w:rPr>
              <w:t xml:space="preserve">« Réorganise la page, c'est pas terrible. »</w:t>
            </w:r>
          </w:p>
        </w:tc>
        <w:tc>
          <w:tcPr>
            <w:tcW w:type="dxa" w:w="4206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« Le bloc [nom du bloc] doit occuper toute la largeur de la page au lieu de la colonne de droite, sans déplacer les autres sections. »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7"/>
                <w:szCs w:val="17"/>
              </w:rPr>
              <w:t xml:space="preserve">Couleur &amp; style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91C1C"/>
                <w:sz w:val="17"/>
                <w:szCs w:val="17"/>
              </w:rPr>
              <w:t xml:space="preserve">« Change les couleurs, ça manque de peps. »</w:t>
            </w:r>
          </w:p>
        </w:tc>
        <w:tc>
          <w:tcPr>
            <w:tcW w:type="dxa" w:w="4206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« Remplace le fond bleu clair par un blanc cassé, et le texte gris par un gris plus foncé (#374151) pour améliorer la lisibilité. »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7"/>
                <w:szCs w:val="17"/>
              </w:rPr>
              <w:t xml:space="preserve">Contenu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91C1C"/>
                <w:sz w:val="17"/>
                <w:szCs w:val="17"/>
              </w:rPr>
              <w:t xml:space="preserve">« Le texte est trop long, raccourcis. »</w:t>
            </w:r>
          </w:p>
        </w:tc>
        <w:tc>
          <w:tcPr>
            <w:tcW w:type="dxa" w:w="4206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« Réduis le paragraphe d'introduction à trois phrases maximum, en gardant le chiffre clé et l'appel à l'action, sans changer le titre. »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7"/>
                <w:szCs w:val="17"/>
              </w:rPr>
              <w:t xml:space="preserve">Fonctionnalité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91C1C"/>
                <w:sz w:val="17"/>
                <w:szCs w:val="17"/>
              </w:rPr>
              <w:t xml:space="preserve">« Ajoute un truc pour que les gens puissent réagir. »</w:t>
            </w:r>
          </w:p>
        </w:tc>
        <w:tc>
          <w:tcPr>
            <w:tcW w:type="dxa" w:w="4206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« Ajoute un bouton « Télécharger la brochure » sous le formulaire de contact, qui déclenche le téléchargement d'un PDF, visible uniquement après validation du formulaire. »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Rappel — méthode STAR condensée pour une itération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Situation : ce qui existe déjà et ce qui pose problème, décrit factuellement.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Tâche : le résultat corrigé exact que vous attendez.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Action : ce que l'IA doit concrètement modifier, étape par étape.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11827"/>
          <w:sz w:val="18"/>
          <w:szCs w:val="18"/>
        </w:rPr>
        <w:t xml:space="preserve">Résultat : le critère précis qui permet de dire que la correction est réussie.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2026-09-10T12:04:07.000Z</dcterms:created>
  <dcterms:modified xsi:type="dcterms:W3CDTF">2026-09-10T12:04:07.003Z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