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PROCÈS-VERBAL DE COMITÉ DE VALIDATION DES ACHATS (CPC)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Supply Chain Management Humanitaire · Module 02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tracer, pour tout achat au-dessus du seuil de consultation restreinte, la décision motivée d'un comité d'au moins 3 membres — jamais la validation d'une seule personne.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Informations de la réunion</w:t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et heure de la réunion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Lieu / mode (présentiel, visioconférence)</w:t>
            </w:r>
          </w:p>
        </w:tc>
      </w:tr>
    </w:tbl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Référence de l'achat (n° PR / RFQ-RFP-ITB)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Montant total estimé de l'achat (USD)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Membres du comité présents</w:t>
      </w: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302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3302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</w:t>
            </w:r>
          </w:p>
        </w:tc>
        <w:tc>
          <w:tcPr>
            <w:tcW w:type="dxa" w:w="3302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 dans le comité</w:t>
            </w:r>
          </w:p>
        </w:tc>
      </w:tr>
      <w:tr>
        <w:tc>
          <w:tcPr>
            <w:tcW w:type="dxa" w:w="33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2"/>
            <w:shd w:fill="ECFD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2"/>
            <w:shd w:fill="ECFD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2"/>
            <w:shd w:fill="ECFD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120"/>
      </w:pP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Membres absents (le cas échéant) et raison de l'absence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047857"/>
          <w:sz w:val="16"/>
          <w:szCs w:val="16"/>
        </w:rPr>
        <w:t xml:space="preserve">Rappel quorum : 3 membres présents minimum, dont au moins un profil finance/compliance et un profil technique ou programme. Le demandeur initial de l'achat ne peut pas être seul décisionnaire.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Objet examiné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Besoin à l'origine de l'achat (référence PR, nature du bien/service, urgence éventuelle)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Procédure suivie (RFQ / RFP / ITB) et nombre d'offres reçues dans le délai imparti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Offres comparées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Synthèse issue de la grille CBA (grille-rfq-comparaison-offres-cba.xlsx) jointe au dossier — à recopier ici pour archivage.</w:t>
      </w: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302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Fournisseur</w:t>
            </w:r>
          </w:p>
        </w:tc>
        <w:tc>
          <w:tcPr>
            <w:tcW w:type="dxa" w:w="1651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Prix total (USD)</w:t>
            </w:r>
          </w:p>
        </w:tc>
        <w:tc>
          <w:tcPr>
            <w:tcW w:type="dxa" w:w="1651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pondéré</w:t>
            </w:r>
          </w:p>
        </w:tc>
        <w:tc>
          <w:tcPr>
            <w:tcW w:type="dxa" w:w="12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</w:t>
            </w:r>
          </w:p>
        </w:tc>
        <w:tc>
          <w:tcPr>
            <w:tcW w:type="dxa" w:w="2102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Conformité technique</w:t>
            </w:r>
          </w:p>
        </w:tc>
      </w:tr>
      <w:tr>
        <w:tc>
          <w:tcPr>
            <w:tcW w:type="dxa" w:w="33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5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5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2"/>
            <w:shd w:fill="ECFD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51"/>
            <w:shd w:fill="ECFD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51"/>
            <w:shd w:fill="ECFD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ECFD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02"/>
            <w:shd w:fill="ECFD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5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5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120"/>
      </w:pP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Anomalies ou indices de collusion relevés dans la CBA (prix identiques, contacts identiques, etc.)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Discussion et analyse du comité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Points soulevés en réunion, y compris désaccords entre membres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Vérifications complémentaires demandées avant décision, le cas échéant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Décision du comité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Fournisseur retenu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Justification de la décision (pas seulement le prix le plus bas — inclure pourquoi les autres offres sont écartées)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Suite à donner si suspicion de collusion ou de fraude (ex. : signalement au référent compliance/anti-fraude)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Signatures des membres présents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B45309"/>
          <w:sz w:val="16"/>
          <w:szCs w:val="16"/>
        </w:rPr>
        <w:t xml:space="preserve">Un PV signé par une seule personne n'est pas valide — la signature de chaque membre présent est obligatoire.</w:t>
      </w: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302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26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</w:t>
            </w:r>
          </w:p>
        </w:tc>
        <w:tc>
          <w:tcPr>
            <w:tcW w:type="dxa" w:w="25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504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3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2"/>
            <w:shd w:fill="ECFD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ECFD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ECFD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shd w:fill="ECFD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2026-08-31T20:56:32.883Z</dcterms:created>
  <dcterms:modified xsi:type="dcterms:W3CDTF">2026-08-31T20:56:32.885Z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