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shd w:fill="1E3A8A" w:color="auto" w:val="clear"/>
            <w:tcMar>
              <w:top w:type="dxa" w:w="200"/>
              <w:left w:type="dxa" w:w="220"/>
              <w:bottom w:type="dxa" w:w="200"/>
              <w:right w:type="dxa" w:w="220"/>
            </w:tcMar>
            <w:vAlign w:val="center"/>
          </w:tcPr>
          <w:p>
            <w:r>
              <w:rPr>
                <w:rFonts w:ascii="Arial" w:cs="Arial" w:eastAsia="Arial" w:hAnsi="Arial"/>
                <w:b/>
                <w:bCs/>
                <w:color w:val="FFFFFF"/>
                <w:sz w:val="26"/>
                <w:szCs w:val="26"/>
              </w:rPr>
              <w:t xml:space="preserve">CHARTE D'UTILISATION RESPONSABLE DE L'IA — USAGE PROFESSIONNEL</w:t>
            </w:r>
          </w:p>
          <w:p>
            <w:pPr>
              <w:spacing w:before="60"/>
            </w:pPr>
            <w:r>
              <w:rPr>
                <w:rFonts w:ascii="Arial" w:cs="Arial" w:eastAsia="Arial" w:hAnsi="Arial"/>
                <w:color w:val="D1D5DB"/>
                <w:sz w:val="18"/>
                <w:szCs w:val="18"/>
              </w:rPr>
              <w:t xml:space="preserve">Formation Maîtrise de l'Intelligence Artificielle — Module 01 — BK-BOOST Ltd.</w:t>
            </w:r>
          </w:p>
        </w:tc>
      </w:tr>
    </w:tbl>
    <w:p>
      <w:pPr>
        <w:spacing w:after="120" w:before="160"/>
      </w:pPr>
      <w:r>
        <w:rPr>
          <w:rFonts w:ascii="Arial" w:cs="Arial" w:eastAsia="Arial" w:hAnsi="Arial"/>
          <w:i/>
          <w:iCs/>
          <w:color w:val="6B7280"/>
          <w:sz w:val="18"/>
          <w:szCs w:val="18"/>
        </w:rPr>
        <w:t xml:space="preserve">Objectif : poser noir sur blanc, avant toute utilisation professionnelle d'une IA générative, ce qui est interdit, ce qui est exigé, et qui valide en cas de doute. Une page à signer et à conserver.</w:t>
      </w:r>
    </w:p>
    <w:p>
      <w:pPr>
        <w:pBdr>
          <w:bottom w:val="single" w:color="047857" w:sz="6" w:space="4"/>
        </w:pBdr>
        <w:spacing w:after="100" w:before="260"/>
      </w:pPr>
      <w:r>
        <w:rPr>
          <w:rFonts w:ascii="Arial" w:cs="Arial" w:eastAsia="Arial" w:hAnsi="Arial"/>
          <w:b/>
          <w:bCs/>
          <w:color w:val="B45309"/>
          <w:sz w:val="22"/>
          <w:szCs w:val="22"/>
        </w:rPr>
        <w:t xml:space="preserve">1. </w:t>
      </w:r>
      <w:r>
        <w:rPr>
          <w:rFonts w:ascii="Arial" w:cs="Arial" w:eastAsia="Arial" w:hAnsi="Arial"/>
          <w:b/>
          <w:bCs/>
          <w:color w:val="1E3A8A"/>
          <w:sz w:val="22"/>
          <w:szCs w:val="22"/>
        </w:rPr>
        <w:t xml:space="preserve">Données que je ne soumets jamais à une IA grand public</w:t>
      </w:r>
    </w:p>
    <w:p>
      <w:pPr>
        <w:pBdr>
          <w:bottom w:val="single" w:color="D1D5DB" w:sz="4" w:space="2"/>
        </w:pBdr>
        <w:spacing w:after="160"/>
      </w:pPr>
      <w:r>
        <w:rPr>
          <w:rFonts w:ascii="Arial" w:cs="Arial" w:eastAsia="Arial" w:hAnsi="Arial"/>
          <w:i/>
          <w:iCs/>
          <w:color w:val="6B7280"/>
          <w:sz w:val="18"/>
          <w:szCs w:val="18"/>
        </w:rPr>
        <w:t xml:space="preserve">Données confidentielles de bailleurs (contrats, montants, rapports financiers non publiés), données personnelles de bénéficiaires ou de collègues (noms, coordonnées, situations individuelles), informations sécuritaires sensibles (mouvements de personnel, localisation d'équipes, incidents en cours).</w:t>
      </w:r>
    </w:p>
    <w:p>
      <w:pPr>
        <w:pBdr>
          <w:bottom w:val="single" w:color="D1D5DB" w:sz="4" w:space="2"/>
        </w:pBdr>
        <w:spacing w:after="160"/>
      </w:pPr>
      <w:r>
        <w:rPr>
          <w:rFonts w:ascii="Arial" w:cs="Arial" w:eastAsia="Arial" w:hAnsi="Arial"/>
          <w:i/>
          <w:iCs/>
          <w:color w:val="6B7280"/>
          <w:sz w:val="18"/>
          <w:szCs w:val="18"/>
        </w:rPr>
        <w:t xml:space="preserve">Autres catégories propres à notre structure (à compléter)</w:t>
      </w:r>
    </w:p>
    <w:p>
      <w:pPr>
        <w:pBdr>
          <w:bottom w:val="single" w:color="D1D5DB" w:sz="4" w:space="2"/>
        </w:pBdr>
        <w:spacing w:after="160"/>
      </w:pPr>
      <w:r>
        <w:rPr>
          <w:rFonts w:ascii="Arial" w:cs="Arial" w:eastAsia="Arial" w:hAnsi="Arial"/>
          <w:i/>
          <w:iCs/>
          <w:color w:val="6B7280"/>
          <w:sz w:val="18"/>
          <w:szCs w:val="18"/>
        </w:rPr>
        <w:t xml:space="preserve"/>
      </w:r>
    </w:p>
    <w:p>
      <w:pPr>
        <w:pBdr>
          <w:bottom w:val="single" w:color="047857" w:sz="6" w:space="4"/>
        </w:pBdr>
        <w:spacing w:after="100" w:before="260"/>
      </w:pPr>
      <w:r>
        <w:rPr>
          <w:rFonts w:ascii="Arial" w:cs="Arial" w:eastAsia="Arial" w:hAnsi="Arial"/>
          <w:b/>
          <w:bCs/>
          <w:color w:val="B45309"/>
          <w:sz w:val="22"/>
          <w:szCs w:val="22"/>
        </w:rPr>
        <w:t xml:space="preserve">2. </w:t>
      </w:r>
      <w:r>
        <w:rPr>
          <w:rFonts w:ascii="Arial" w:cs="Arial" w:eastAsia="Arial" w:hAnsi="Arial"/>
          <w:b/>
          <w:bCs/>
          <w:color w:val="1E3A8A"/>
          <w:sz w:val="22"/>
          <w:szCs w:val="22"/>
        </w:rPr>
        <w:t xml:space="preserve">Vérification obligatoire avant tout usage externe</w:t>
      </w:r>
    </w:p>
    <w:p>
      <w:pPr>
        <w:pBdr>
          <w:bottom w:val="single" w:color="D1D5DB" w:sz="4" w:space="2"/>
        </w:pBdr>
        <w:spacing w:after="160"/>
      </w:pPr>
      <w:r>
        <w:rPr>
          <w:rFonts w:ascii="Arial" w:cs="Arial" w:eastAsia="Arial" w:hAnsi="Arial"/>
          <w:i/>
          <w:iCs/>
          <w:color w:val="6B7280"/>
          <w:sz w:val="18"/>
          <w:szCs w:val="18"/>
        </w:rPr>
        <w:t xml:space="preserve">Toute donnée factuelle générée par l'IA (chiffre, date, citation, référence, statistique) est vérifiée à la source avant d'être utilisée dans un document destiné à un tiers. Un contenu généré par IA n'est jamais transmis à un bailleur, un partenaire ou un client sans relecture humaine complète. En cas de doute sur une information, elle est considérée comme fausse jusqu'à preuve du contraire.</w:t>
      </w:r>
    </w:p>
    <w:p>
      <w:pPr>
        <w:pBdr>
          <w:bottom w:val="single" w:color="D1D5DB" w:sz="4" w:space="2"/>
        </w:pBdr>
        <w:spacing w:after="160"/>
      </w:pPr>
      <w:r>
        <w:rPr>
          <w:rFonts w:ascii="Arial" w:cs="Arial" w:eastAsia="Arial" w:hAnsi="Arial"/>
          <w:i/>
          <w:iCs/>
          <w:color w:val="6B7280"/>
          <w:sz w:val="18"/>
          <w:szCs w:val="18"/>
        </w:rPr>
        <w:t xml:space="preserve"/>
      </w:r>
    </w:p>
    <w:p>
      <w:pPr>
        <w:pBdr>
          <w:bottom w:val="single" w:color="047857" w:sz="6" w:space="4"/>
        </w:pBdr>
        <w:spacing w:after="100" w:before="260"/>
      </w:pPr>
      <w:r>
        <w:rPr>
          <w:rFonts w:ascii="Arial" w:cs="Arial" w:eastAsia="Arial" w:hAnsi="Arial"/>
          <w:b/>
          <w:bCs/>
          <w:color w:val="B45309"/>
          <w:sz w:val="22"/>
          <w:szCs w:val="22"/>
        </w:rPr>
        <w:t xml:space="preserve">3. </w:t>
      </w:r>
      <w:r>
        <w:rPr>
          <w:rFonts w:ascii="Arial" w:cs="Arial" w:eastAsia="Arial" w:hAnsi="Arial"/>
          <w:b/>
          <w:bCs/>
          <w:color w:val="1E3A8A"/>
          <w:sz w:val="22"/>
          <w:szCs w:val="22"/>
        </w:rPr>
        <w:t xml:space="preserve">Pratiques de divulgation — quand je mentionne l'usage de l'IA</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953"/>
            <w:tcBorders>
              <w:top w:val="none" w:color="FFFFFF" w:sz="0"/>
              <w:left w:val="none" w:color="FFFFFF" w:sz="0"/>
              <w:bottom w:val="none" w:color="FFFFFF" w:sz="0"/>
              <w:right w:val="none" w:color="FFFFFF" w:sz="0"/>
            </w:tcBorders>
            <w:tcMar>
              <w:right w:type="dxa" w:w="200"/>
            </w:tcMar>
          </w:tcPr>
          <w:p>
            <w:pPr>
              <w:pBdr>
                <w:bottom w:val="single" w:color="D1D5DB" w:sz="4" w:space="2"/>
              </w:pBdr>
              <w:spacing w:after="160"/>
            </w:pPr>
            <w:r>
              <w:rPr>
                <w:rFonts w:ascii="Arial" w:cs="Arial" w:eastAsia="Arial" w:hAnsi="Arial"/>
                <w:i/>
                <w:iCs/>
                <w:color w:val="6B7280"/>
                <w:sz w:val="18"/>
                <w:szCs w:val="18"/>
              </w:rPr>
              <w:t xml:space="preserve">Usage interne (brouillon, reformulation, idée) : mention non systématique, mais traçable si un collègue ou un responsable le demande.</w:t>
            </w:r>
          </w:p>
        </w:tc>
        <w:tc>
          <w:tcPr>
            <w:tcW w:type="dxa" w:w="4953"/>
            <w:tcBorders>
              <w:top w:val="none" w:color="FFFFFF" w:sz="0"/>
              <w:left w:val="none" w:color="FFFFFF" w:sz="0"/>
              <w:bottom w:val="none" w:color="FFFFFF" w:sz="0"/>
              <w:right w:val="none" w:color="FFFFFF" w:sz="0"/>
            </w:tcBorders>
            <w:tcMar>
              <w:left w:type="dxa" w:w="200"/>
            </w:tcMar>
          </w:tcPr>
          <w:p>
            <w:pPr>
              <w:pBdr>
                <w:bottom w:val="single" w:color="D1D5DB" w:sz="4" w:space="2"/>
              </w:pBdr>
              <w:spacing w:after="160"/>
            </w:pPr>
            <w:r>
              <w:rPr>
                <w:rFonts w:ascii="Arial" w:cs="Arial" w:eastAsia="Arial" w:hAnsi="Arial"/>
                <w:i/>
                <w:iCs/>
                <w:color w:val="6B7280"/>
                <w:sz w:val="18"/>
                <w:szCs w:val="18"/>
              </w:rPr>
              <w:t xml:space="preserve">Document officiel externe (bailleur, partenaire, client) : mention explicite recommandée si la politique de l'organisation l'exige, ou si le document engage la responsabilité de la structure.</w:t>
            </w:r>
          </w:p>
        </w:tc>
      </w:tr>
    </w:tbl>
    <w:p>
      <w:pPr>
        <w:pBdr>
          <w:bottom w:val="single" w:color="047857" w:sz="6" w:space="4"/>
        </w:pBdr>
        <w:spacing w:after="100" w:before="260"/>
      </w:pPr>
      <w:r>
        <w:rPr>
          <w:rFonts w:ascii="Arial" w:cs="Arial" w:eastAsia="Arial" w:hAnsi="Arial"/>
          <w:b/>
          <w:bCs/>
          <w:color w:val="B45309"/>
          <w:sz w:val="22"/>
          <w:szCs w:val="22"/>
        </w:rPr>
        <w:t xml:space="preserve">4. </w:t>
      </w:r>
      <w:r>
        <w:rPr>
          <w:rFonts w:ascii="Arial" w:cs="Arial" w:eastAsia="Arial" w:hAnsi="Arial"/>
          <w:b/>
          <w:bCs/>
          <w:color w:val="1E3A8A"/>
          <w:sz w:val="22"/>
          <w:szCs w:val="22"/>
        </w:rPr>
        <w:t xml:space="preserve">Outils validés et référent en cas de doute</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953"/>
            <w:tcBorders>
              <w:top w:val="none" w:color="FFFFFF" w:sz="0"/>
              <w:left w:val="none" w:color="FFFFFF" w:sz="0"/>
              <w:bottom w:val="none" w:color="FFFFFF" w:sz="0"/>
              <w:right w:val="none" w:color="FFFFFF" w:sz="0"/>
            </w:tcBorders>
            <w:tcMar>
              <w:right w:type="dxa" w:w="200"/>
            </w:tcMar>
          </w:tcPr>
          <w:p>
            <w:pPr>
              <w:pBdr>
                <w:bottom w:val="single" w:color="D1D5DB" w:sz="4" w:space="2"/>
              </w:pBdr>
              <w:spacing w:after="160"/>
            </w:pPr>
            <w:r>
              <w:rPr>
                <w:rFonts w:ascii="Arial" w:cs="Arial" w:eastAsia="Arial" w:hAnsi="Arial"/>
                <w:i/>
                <w:iCs/>
                <w:color w:val="6B7280"/>
                <w:sz w:val="18"/>
                <w:szCs w:val="18"/>
              </w:rPr>
              <w:t xml:space="preserve">Plateformes IA autorisées dans notre structure (à compléter)</w:t>
            </w:r>
          </w:p>
        </w:tc>
        <w:tc>
          <w:tcPr>
            <w:tcW w:type="dxa" w:w="4953"/>
            <w:tcBorders>
              <w:top w:val="none" w:color="FFFFFF" w:sz="0"/>
              <w:left w:val="none" w:color="FFFFFF" w:sz="0"/>
              <w:bottom w:val="none" w:color="FFFFFF" w:sz="0"/>
              <w:right w:val="none" w:color="FFFFFF" w:sz="0"/>
            </w:tcBorders>
            <w:tcMar>
              <w:left w:type="dxa" w:w="200"/>
            </w:tcMar>
          </w:tcPr>
          <w:p>
            <w:pPr>
              <w:pBdr>
                <w:bottom w:val="single" w:color="D1D5DB" w:sz="4" w:space="2"/>
              </w:pBdr>
              <w:spacing w:after="160"/>
            </w:pPr>
            <w:r>
              <w:rPr>
                <w:rFonts w:ascii="Arial" w:cs="Arial" w:eastAsia="Arial" w:hAnsi="Arial"/>
                <w:i/>
                <w:iCs/>
                <w:color w:val="6B7280"/>
                <w:sz w:val="18"/>
                <w:szCs w:val="18"/>
              </w:rPr>
              <w:t xml:space="preserve">Personne à contacter en cas de doute (référent IA / RSSI)</w:t>
            </w:r>
          </w:p>
        </w:tc>
      </w:tr>
    </w:tbl>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953"/>
            <w:tcBorders>
              <w:top w:val="none" w:color="FFFFFF" w:sz="0"/>
              <w:left w:val="none" w:color="FFFFFF" w:sz="0"/>
              <w:bottom w:val="none" w:color="FFFFFF" w:sz="0"/>
              <w:right w:val="none" w:color="FFFFFF" w:sz="0"/>
            </w:tcBorders>
            <w:tcMar>
              <w:right w:type="dxa" w:w="200"/>
            </w:tcMar>
          </w:tcPr>
          <w:p>
            <w:pPr>
              <w:pBdr>
                <w:bottom w:val="single" w:color="D1D5DB" w:sz="4" w:space="2"/>
              </w:pBdr>
              <w:spacing w:after="160"/>
            </w:pPr>
            <w:r>
              <w:rPr>
                <w:rFonts w:ascii="Arial" w:cs="Arial" w:eastAsia="Arial" w:hAnsi="Arial"/>
                <w:i/>
                <w:iCs/>
                <w:color w:val="6B7280"/>
                <w:sz w:val="18"/>
                <w:szCs w:val="18"/>
              </w:rPr>
              <w:t xml:space="preserve"/>
            </w:r>
          </w:p>
        </w:tc>
        <w:tc>
          <w:tcPr>
            <w:tcW w:type="dxa" w:w="4953"/>
            <w:tcBorders>
              <w:top w:val="none" w:color="FFFFFF" w:sz="0"/>
              <w:left w:val="none" w:color="FFFFFF" w:sz="0"/>
              <w:bottom w:val="none" w:color="FFFFFF" w:sz="0"/>
              <w:right w:val="none" w:color="FFFFFF" w:sz="0"/>
            </w:tcBorders>
            <w:tcMar>
              <w:left w:type="dxa" w:w="200"/>
            </w:tcMar>
          </w:tcPr>
          <w:p>
            <w:pPr>
              <w:pBdr>
                <w:bottom w:val="single" w:color="D1D5DB" w:sz="4" w:space="2"/>
              </w:pBdr>
              <w:spacing w:after="160"/>
            </w:pPr>
            <w:r>
              <w:rPr>
                <w:rFonts w:ascii="Arial" w:cs="Arial" w:eastAsia="Arial" w:hAnsi="Arial"/>
                <w:i/>
                <w:iCs/>
                <w:color w:val="6B7280"/>
                <w:sz w:val="18"/>
                <w:szCs w:val="18"/>
              </w:rPr>
              <w:t xml:space="preserve"/>
            </w:r>
          </w:p>
        </w:tc>
      </w:tr>
    </w:tbl>
    <w:p>
      <w:pPr>
        <w:pBdr>
          <w:bottom w:val="single" w:color="047857" w:sz="6" w:space="4"/>
        </w:pBdr>
        <w:spacing w:after="100" w:before="260"/>
      </w:pPr>
      <w:r>
        <w:rPr>
          <w:rFonts w:ascii="Arial" w:cs="Arial" w:eastAsia="Arial" w:hAnsi="Arial"/>
          <w:b/>
          <w:bCs/>
          <w:color w:val="B45309"/>
          <w:sz w:val="22"/>
          <w:szCs w:val="22"/>
        </w:rPr>
        <w:t xml:space="preserve">5. </w:t>
      </w:r>
      <w:r>
        <w:rPr>
          <w:rFonts w:ascii="Arial" w:cs="Arial" w:eastAsia="Arial" w:hAnsi="Arial"/>
          <w:b/>
          <w:bCs/>
          <w:color w:val="1E3A8A"/>
          <w:sz w:val="22"/>
          <w:szCs w:val="22"/>
        </w:rPr>
        <w:t xml:space="preserve">Engagement personnel</w:t>
      </w:r>
    </w:p>
    <w:p>
      <w:pPr>
        <w:pBdr>
          <w:bottom w:val="single" w:color="D1D5DB" w:sz="4" w:space="2"/>
        </w:pBdr>
        <w:spacing w:after="160"/>
      </w:pPr>
      <w:r>
        <w:rPr>
          <w:rFonts w:ascii="Arial" w:cs="Arial" w:eastAsia="Arial" w:hAnsi="Arial"/>
          <w:i/>
          <w:iCs/>
          <w:color w:val="6B7280"/>
          <w:sz w:val="18"/>
          <w:szCs w:val="18"/>
        </w:rPr>
        <w:t xml:space="preserve">Je m'engage à respecter cette charte dans toute utilisation professionnelle d'un outil d'IA générative, et à alerter mon responsable sans délai en cas d'incident (donnée sensible collée par erreur, doute sérieux sur une réponse IA déjà utilisée).</w:t>
      </w:r>
    </w:p>
    <w:p>
      <w:pPr>
        <w:pBdr>
          <w:top w:val="single" w:color="D1D5DB" w:sz="4" w:space="8"/>
        </w:pBdr>
        <w:spacing w:before="300"/>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953"/>
            <w:tcBorders>
              <w:top w:val="none" w:color="FFFFFF" w:sz="0"/>
              <w:left w:val="none" w:color="FFFFFF" w:sz="0"/>
              <w:bottom w:val="none" w:color="FFFFFF" w:sz="0"/>
              <w:right w:val="none" w:color="FFFFFF" w:sz="0"/>
            </w:tcBorders>
            <w:tcMar>
              <w:top w:type="dxa" w:w="100"/>
              <w:left w:type="dxa" w:w="0"/>
              <w:bottom w:type="dxa" w:w="200"/>
              <w:right w:type="dxa" w:w="220"/>
            </w:tcMar>
          </w:tcPr>
          <w:p>
            <w:r>
              <w:rPr>
                <w:rFonts w:ascii="Arial" w:cs="Arial" w:eastAsia="Arial" w:hAnsi="Arial"/>
                <w:i/>
                <w:iCs/>
                <w:color w:val="6B7280"/>
                <w:sz w:val="18"/>
                <w:szCs w:val="18"/>
              </w:rPr>
              <w:t xml:space="preserve">Nom, fonction</w:t>
            </w:r>
          </w:p>
        </w:tc>
        <w:tc>
          <w:tcPr>
            <w:tcW w:type="dxa" w:w="4953"/>
            <w:tcBorders>
              <w:top w:val="none" w:color="FFFFFF" w:sz="0"/>
              <w:left w:val="none" w:color="FFFFFF" w:sz="0"/>
              <w:bottom w:val="none" w:color="FFFFFF" w:sz="0"/>
              <w:right w:val="none" w:color="FFFFFF" w:sz="0"/>
            </w:tcBorders>
            <w:tcMar>
              <w:top w:type="dxa" w:w="100"/>
              <w:left w:type="dxa" w:w="0"/>
              <w:bottom w:type="dxa" w:w="200"/>
              <w:right w:type="dxa" w:w="220"/>
            </w:tcMar>
          </w:tcPr>
          <w:p>
            <w:r>
              <w:rPr>
                <w:rFonts w:ascii="Arial" w:cs="Arial" w:eastAsia="Arial" w:hAnsi="Arial"/>
                <w:i/>
                <w:iCs/>
                <w:color w:val="6B7280"/>
                <w:sz w:val="18"/>
                <w:szCs w:val="18"/>
              </w:rPr>
              <w:t xml:space="preserve">Date et signature</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2026-09-10T06:42:09.561Z</dcterms:created>
  <dcterms:modified xsi:type="dcterms:W3CDTF">2026-09-10T06:42:09.562Z</dcterms:modified>
</cp:coreProperties>
</file>

<file path=docProps/custom.xml><?xml version="1.0" encoding="utf-8"?>
<Properties xmlns="http://schemas.openxmlformats.org/officeDocument/2006/custom-properties" xmlns:vt="http://schemas.openxmlformats.org/officeDocument/2006/docPropsVTypes"/>
</file>