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60"/>
      </w:pPr>
      <w:r>
        <w:rPr>
          <w:rFonts w:eastAsia="Microsoft YaHei"/>
          <w:b/>
          <w:color w:val="17365D"/>
          <w:sz w:val="60"/>
        </w:rPr>
        <w:t>Japan Energy Storage Intelligence Tracker</w:t>
      </w:r>
    </w:p>
    <w:p>
      <w:pPr>
        <w:spacing w:after="360"/>
      </w:pPr>
      <w:r>
        <w:rPr>
          <w:rFonts w:eastAsia="Microsoft YaHei"/>
          <w:b/>
          <w:color w:val="2F75B5"/>
          <w:sz w:val="36"/>
        </w:rPr>
        <w:t>Executive Operating Overview / 管理层运营概览</w:t>
      </w:r>
    </w:p>
    <w:p>
      <w:pPr>
        <w:spacing w:after="360"/>
      </w:pPr>
      <w:r>
        <w:rPr>
          <w:rFonts w:eastAsia="Microsoft YaHei"/>
          <w:color w:val="6B7280"/>
          <w:sz w:val="23"/>
        </w:rPr>
        <w:t>A concise view of the AI roles, information sources, workflow, outputs and controls.</w:t>
      </w:r>
    </w:p>
    <w:p>
      <w:pPr>
        <w:spacing w:after="480"/>
      </w:pPr>
      <w:r>
        <w:rPr>
          <w:rFonts w:eastAsia="Microsoft YaHei"/>
          <w:color w:val="6B7280"/>
          <w:sz w:val="21"/>
        </w:rPr>
        <w:t>简要说明当前 AI 角色、信息来源、业务流程、管理层输出及管控边界。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  <w:tcMar>
              <w:top w:w="14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eastAsia="Microsoft YaHei"/>
                <w:b/>
                <w:color w:val="17365D"/>
                <w:sz w:val="48"/>
              </w:rPr>
              <w:t>2</w:t>
              <w:br/>
              <w:t>AI roles</w:t>
              <w:br/>
              <w:t>AI 角色</w:t>
            </w:r>
          </w:p>
          <w:p>
            <w:pPr>
              <w:spacing w:after="20"/>
              <w:jc w:val="center"/>
            </w:pPr>
            <w:r>
              <w:rPr>
                <w:rFonts w:eastAsia="Microsoft YaHei"/>
                <w:b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rFonts w:eastAsia="Microsoft YaHei"/>
                <w:color w:val="6B7280"/>
                <w:sz w:val="17"/>
              </w:rPr>
            </w:r>
          </w:p>
        </w:tc>
        <w:tc>
          <w:tcPr>
            <w:tcW w:type="dxa" w:w="3408"/>
            <w:shd w:fill="F3F7FB"/>
            <w:tcMar>
              <w:top w:w="14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eastAsia="Microsoft YaHei"/>
                <w:b/>
                <w:color w:val="17365D"/>
                <w:sz w:val="48"/>
              </w:rPr>
              <w:t>37</w:t>
              <w:br/>
              <w:t>public channels</w:t>
              <w:br/>
              <w:t>公开信息渠道</w:t>
            </w:r>
          </w:p>
          <w:p>
            <w:pPr>
              <w:spacing w:after="20"/>
              <w:jc w:val="center"/>
            </w:pPr>
            <w:r>
              <w:rPr>
                <w:rFonts w:eastAsia="Microsoft YaHei"/>
                <w:b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rFonts w:eastAsia="Microsoft YaHei"/>
                <w:color w:val="6B7280"/>
                <w:sz w:val="17"/>
              </w:rPr>
            </w:r>
          </w:p>
        </w:tc>
        <w:tc>
          <w:tcPr>
            <w:tcW w:type="dxa" w:w="3408"/>
            <w:shd w:fill="F2F2F2"/>
            <w:tcMar>
              <w:top w:w="140" w:type="dxa"/>
              <w:start w:w="130" w:type="dxa"/>
              <w:bottom w:w="13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eastAsia="Microsoft YaHei"/>
                <w:b/>
                <w:color w:val="17365D"/>
                <w:sz w:val="48"/>
              </w:rPr>
              <w:t>1</w:t>
              <w:br/>
              <w:t>executive brief</w:t>
              <w:br/>
              <w:t>管理层简报</w:t>
            </w:r>
          </w:p>
          <w:p>
            <w:pPr>
              <w:spacing w:after="20"/>
              <w:jc w:val="center"/>
            </w:pPr>
            <w:r>
              <w:rPr>
                <w:rFonts w:eastAsia="Microsoft YaHei"/>
                <w:b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rFonts w:eastAsia="Microsoft YaHei"/>
                <w:color w:val="6B7280"/>
                <w:sz w:val="17"/>
              </w:rPr>
            </w:r>
          </w:p>
        </w:tc>
      </w:tr>
    </w:tbl>
    <w:p/>
    <w:p>
      <w:pPr>
        <w:pStyle w:val="Heading1"/>
        <w:keepNext/>
      </w:pPr>
      <w:r>
        <w:rPr>
          <w:rFonts w:eastAsia="Microsoft YaHei"/>
        </w:rPr>
        <w:t>Executive takeaway  /  管理层要点</w:t>
      </w:r>
      <w:r>
        <w:rPr>
          <w:color w:val="2F75B5"/>
        </w:rPr>
      </w:r>
    </w:p>
    <w:p>
      <w:pPr>
        <w:spacing w:after="40"/>
      </w:pPr>
      <w:r>
        <w:rPr>
          <w:rFonts w:eastAsia="Microsoft YaHei"/>
        </w:rPr>
        <w:t>The tracker uses two distinct AI roles: one screens each item for relevance to Japan's energy storage market; the other interprets commercial impact and produces the executive briefing.</w:t>
      </w:r>
    </w:p>
    <w:p>
      <w:pPr>
        <w:spacing w:after="120"/>
      </w:pPr>
      <w:r>
        <w:rPr>
          <w:rFonts w:eastAsia="Microsoft YaHei"/>
          <w:color w:val="6B7280"/>
          <w:sz w:val="19"/>
        </w:rPr>
        <w:t>系统采用两个明确的 AI 角色：第一层判断每条信息与日本储能市场的相关性；第二层解读商业影响并形成管理层简报。</w:t>
      </w:r>
    </w:p>
    <w:p>
      <w:pPr>
        <w:spacing w:after="40"/>
      </w:pPr>
      <w:r>
        <w:rPr>
          <w:rFonts w:eastAsia="Microsoft YaHei"/>
        </w:rPr>
        <w:t>Collection, scheduling, duplicate removal and report delivery are automated workflow components—not separate AI Agents.</w:t>
      </w:r>
    </w:p>
    <w:p>
      <w:pPr>
        <w:spacing w:after="120"/>
      </w:pPr>
      <w:r>
        <w:rPr>
          <w:rFonts w:eastAsia="Microsoft YaHei"/>
          <w:color w:val="6B7280"/>
          <w:sz w:val="19"/>
        </w:rPr>
        <w:t>信息采集、定时运行、去重和报告交付属于自动化流程，并不是独立的 AI Agent。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1  Collect / 采集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2  AI screen / AI 筛选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3  AI interpret / AI 解读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4  Deliver / 交付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</w:tr>
      <w:tr>
        <w:tc>
          <w:tcPr>
            <w:tcW w:type="dxa" w:w="2556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Recent public updates</w:t>
              <w:br/>
              <w:t>近期公开信息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Relevance &amp; signal</w:t>
              <w:br/>
              <w:t>相关性与信号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Impact &amp; actions</w:t>
              <w:br/>
              <w:t>影响与行动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Word executive brief</w:t>
              <w:br/>
              <w:t>Word 管理层简报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eastAsia="Microsoft YaHei"/>
        </w:rPr>
        <w:t>1. Current AI Agent model  /  当前 AI Agent 模式</w:t>
      </w:r>
      <w:r>
        <w:rPr>
          <w:color w:val="2F75B5"/>
        </w:rPr>
      </w:r>
    </w:p>
    <w:p>
      <w:pPr>
        <w:spacing w:after="200"/>
      </w:pPr>
      <w:r>
        <w:rPr>
          <w:rFonts w:eastAsia="Microsoft YaHei"/>
          <w:b/>
          <w:color w:val="548235"/>
          <w:sz w:val="26"/>
        </w:rPr>
        <w:t>Business definition: 2 AI Agents / roles  /  业务定义：2 个 AI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AI role / AI 角色</w:t>
            </w:r>
            <w:r>
              <w:rPr>
                <w:b/>
                <w:color w:val="FFFFFF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6"/>
              </w:rPr>
            </w:r>
          </w:p>
        </w:tc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Primary task / 主要任务</w:t>
            </w:r>
            <w:r>
              <w:rPr>
                <w:b/>
                <w:color w:val="FFFFFF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6"/>
              </w:rPr>
            </w:r>
          </w:p>
        </w:tc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Business output / 业务产出</w:t>
            </w:r>
            <w:r>
              <w:rPr>
                <w:b/>
                <w:color w:val="FFFFFF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6"/>
              </w:rPr>
            </w:r>
          </w:p>
        </w:tc>
        <w:tc>
          <w:tcPr>
            <w:tcW w:type="dxa" w:w="2556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What it does not do / 不负责事项</w:t>
            </w:r>
            <w:r>
              <w:rPr>
                <w:b/>
                <w:color w:val="FFFFFF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6"/>
              </w:rPr>
            </w:r>
          </w:p>
        </w:tc>
      </w:tr>
      <w:tr>
        <w:tc>
          <w:tcPr>
            <w:tcW w:type="dxa" w:w="25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Agent 1</w:t>
              <w:br/>
              <w:t>Japan BESS Relevance &amp; Signal</w:t>
              <w:br/>
              <w:t>日本 BESS 相关性与信号判断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25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Reviews shortlisted items; assesses Japan storage relevance, topic, signal and confidence.</w:t>
              <w:br/>
              <w:t>审阅候选信息，判断其与日本储能的相关性、主题、信号及置信度。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Prioritized news with a concise summary and why it matters.</w:t>
              <w:br/>
              <w:t>形成有优先级的新闻清单、简要摘要及其重要性说明。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Does not make investment decisions or prove market causality.</w:t>
              <w:br/>
              <w:t>不作投资决策，也不证明新闻与市场结果之间的因果关系。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2556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Agent 2</w:t>
              <w:br/>
              <w:t>Commercial Impact &amp; Executive Briefing</w:t>
              <w:br/>
              <w:t>商业影响与管理层简报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2556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Identifies the entity and strategic impact; groups signals into policy, grid, market rules, competitors and financing; proposes follow-up.</w:t>
              <w:br/>
              <w:t>识别相关机构及战略影响，按政策、电网、市场规则、竞争者和融资分类，并提出跟进建议。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Executive summary, decision themes, suggested actions and watchlist.</w:t>
              <w:br/>
              <w:t>形成管理层摘要、决策主题、行动建议及观察清单。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2556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Does not replace management judgment, legal review or commercial due diligence.</w:t>
              <w:br/>
              <w:t>不能替代管理层判断、法律审查或商业尽调。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</w:tbl>
    <w:p/>
    <w:p>
      <w:pPr>
        <w:pStyle w:val="Heading2"/>
        <w:keepNext/>
      </w:pPr>
      <w:r>
        <w:rPr>
          <w:rFonts w:eastAsia="Microsoft YaHei"/>
        </w:rPr>
        <w:t>How the roles work together  /  两个角色如何协作</w:t>
      </w:r>
      <w:r>
        <w:rPr>
          <w:color w:val="2F75B5"/>
        </w:rPr>
      </w:r>
    </w:p>
    <w:p>
      <w:pPr>
        <w:pStyle w:val="ListBullet"/>
        <w:spacing w:after="40"/>
      </w:pPr>
      <w:r>
        <w:rPr>
          <w:rFonts w:eastAsia="Microsoft YaHei"/>
        </w:rPr>
        <w:t>Agent 1 applies one consistent Japan BESS lens across all shortlisted items, prioritizing the developments most relevant to policy, projects and market activity.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Agent 1 对所有候选信息使用统一的日本 BESS 判断标准，优先识别与政策、项目及市场活动最相关的动态。</w:t>
      </w:r>
    </w:p>
    <w:p>
      <w:pPr>
        <w:pStyle w:val="ListBullet"/>
        <w:spacing w:after="40"/>
      </w:pPr>
      <w:r>
        <w:rPr>
          <w:rFonts w:eastAsia="Microsoft YaHei"/>
        </w:rPr>
        <w:t>Agent 2 adds commercial context, organizes the leading signals into decision themes, and identifies follow-up actions and watchpoints.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Agent 2 补充商业语境，将重要信号归入决策主题，并提出后续行动和重点观察事项。</w:t>
      </w:r>
    </w:p>
    <w:p>
      <w:pPr>
        <w:pStyle w:val="ListBullet"/>
        <w:spacing w:after="40"/>
      </w:pPr>
      <w:r>
        <w:rPr>
          <w:rFonts w:eastAsia="Microsoft YaHei"/>
        </w:rPr>
        <w:t>The two roles may use different AI models when required, while remaining within one controlled and traceable workflow.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两个角色可按业务需要使用不同 AI 模型，但仍处于同一套受控、可追溯的流程中。</w:t>
      </w:r>
    </w:p>
    <w:p>
      <w:r>
        <w:br w:type="page"/>
      </w:r>
    </w:p>
    <w:p>
      <w:pPr>
        <w:pStyle w:val="Heading1"/>
        <w:keepNext/>
      </w:pPr>
      <w:r>
        <w:rPr>
          <w:rFonts w:eastAsia="Microsoft YaHei"/>
        </w:rPr>
        <w:t>2. Information sources  /  信息来源</w:t>
      </w:r>
      <w:r>
        <w:rPr>
          <w:color w:val="2F75B5"/>
        </w:rPr>
      </w:r>
    </w:p>
    <w:p>
      <w:pPr>
        <w:spacing w:after="40"/>
      </w:pPr>
      <w:r>
        <w:rPr>
          <w:rFonts w:eastAsia="Microsoft YaHei"/>
        </w:rPr>
        <w:t>The current profile covers 37 public channels across government and market institutions, energy-sector media, trading companies, power utilities, and storage or battery companies. Official and market-operator sources receive the highest priority.</w:t>
      </w:r>
    </w:p>
    <w:p>
      <w:pPr>
        <w:spacing w:after="120"/>
      </w:pPr>
      <w:r>
        <w:rPr>
          <w:rFonts w:eastAsia="Microsoft YaHei"/>
          <w:color w:val="6B7280"/>
          <w:sz w:val="19"/>
        </w:rPr>
        <w:t>当前 profile 覆盖 37 个公开信息渠道，包括政府及市场机构、能源行业媒体、综合商社、电力公司以及储能/电池企业。官方及市场运营机构来源优先级最高。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Source group / 来源组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Current channels / 当前渠道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Information captured / 抓取内容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</w:tr>
      <w:tr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Government &amp; market institutions (4)</w:t>
              <w:br/>
              <w:t>政府及市场机构（4）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ANRE/METI Energy &amp; Environment Press (Japanese and English); OCCTO News RSS and News</w:t>
              <w:br/>
              <w:t>ANRE/METI 能源与环境新闻（日文及英文）；OCCTO 新闻 RSS 与官网新闻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Policy, capacity and decarbonization mechanisms, grid/interconnection and market-operation updates.</w:t>
              <w:br/>
              <w:t>政策、容量与脱碳机制、电网/并网及市场运营动态。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Energy-sector media (2)</w:t>
              <w:br/>
              <w:t>能源行业媒体（2）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エネハブ; Japan Energy Hub</w:t>
              <w:br/>
              <w:t>エネハブ；Japan Energy Hub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Sector developments and market context that supplement primary official sources.</w:t>
              <w:br/>
              <w:t>行业动态及市场背景，用于补充官方一手来源。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Trading companies (13)</w:t>
              <w:br/>
              <w:t>综合商社（13）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Mitsubishi Corp; Mitsui (Release, Topics, What's New); Itochu (Press, Energy &amp; Chemical); Sumitomo Corp (Release, Group News, Topics); Marubeni; Sojitz (Release, Topics); Toyota Tsusho</w:t>
              <w:br/>
              <w:t>三菱商事；三井物产；伊藤忠商事；住友商事；丸红；双日；丰田通商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Investment, partnerships, joint ventures, orders, project development and platform activity.</w:t>
              <w:br/>
              <w:t>投资、合作、合资、订单、项目开发及平台业务动态。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Power companies (8)</w:t>
              <w:br/>
              <w:t>电力公司（8）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JERA (Information, Notices); JERA Cross; TEPCO (Releases, Notices); Chubu Electric; Kansai Electric (PR, Notices)</w:t>
              <w:br/>
              <w:t>JERA；JERA Cross；东京电力；中部电力；关西电力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Storage projects, commissioning, grid connection, operations and utility partnerships.</w:t>
              <w:br/>
              <w:t>储能项目、投运、并网、运营及电力企业合作。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3408"/>
          </w:tcPr>
          <w:p>
            <w:r>
              <w:rPr>
                <w:rFonts w:eastAsia="Microsoft YaHei"/>
              </w:rPr>
              <w:t>Storage &amp; battery companies (10)</w:t>
              <w:br/>
              <w:t>储能及电池企业（10）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</w:rPr>
              <w:t>GS Yuasa (News Releases, Topics); Toshiba (Corporate, Renewable Energy/VPP); Panasonic Energy; Hitachi Energy; Hitachi Power Solutions; CATL (News); BYD Energy Storage (News); HiTHIUM (Latest Updates)</w:t>
              <w:br/>
              <w:t>GS Yuasa；东芝；Panasonic Energy；Hitachi Energy；Hitachi Power Solutions；CATL；BYD Energy Storage；HiTHIUM</w:t>
            </w:r>
          </w:p>
        </w:tc>
        <w:tc>
          <w:tcPr>
            <w:tcW w:type="dxa" w:w="3408"/>
          </w:tcPr>
          <w:p>
            <w:r>
              <w:rPr>
                <w:rFonts w:eastAsia="Microsoft YaHei"/>
              </w:rPr>
              <w:t>Technology and supply-chain developments, products, contracts, VPP and storage solutions.</w:t>
              <w:br/>
              <w:t>技术与供应链动态、产品、合同、VPP 及储能解决方案。</w:t>
            </w:r>
          </w:p>
        </w:tc>
      </w:tr>
    </w:tbl>
    <w:p/>
    <w:p>
      <w:pPr>
        <w:pStyle w:val="Heading2"/>
        <w:keepNext/>
      </w:pPr>
      <w:r>
        <w:rPr>
          <w:rFonts w:eastAsia="Microsoft YaHei"/>
        </w:rPr>
        <w:t>What is captured  /  采集哪些信息</w:t>
      </w:r>
      <w:r>
        <w:rPr>
          <w:color w:val="2F75B5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Headline &amp; excerpt / 标题与摘要</w:t>
              <w:br/>
              <w:t>Public headline and available summary/excerpt / 公开标题及可获取的摘要/摘录</w:t>
            </w:r>
            <w:r>
              <w:rPr>
                <w:b/>
                <w:color w:val="17365D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7"/>
              </w:rPr>
            </w:r>
          </w:p>
          <w:p>
            <w:pPr>
              <w:spacing w:after="20"/>
            </w:pPr>
            <w:r>
              <w:rPr>
                <w:rFonts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color w:val="6B7280"/>
                <w:sz w:val="16"/>
              </w:rPr>
            </w:r>
          </w:p>
        </w:tc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Source &amp; link / 来源与链接</w:t>
              <w:br/>
              <w:t>Publisher identity and original URL / 发布方信息及原始链接</w:t>
            </w:r>
            <w:r>
              <w:rPr>
                <w:b/>
                <w:color w:val="17365D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7"/>
              </w:rPr>
            </w:r>
          </w:p>
          <w:p>
            <w:pPr>
              <w:spacing w:after="20"/>
            </w:pPr>
            <w:r>
              <w:rPr>
                <w:rFonts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color w:val="6B7280"/>
                <w:sz w:val="16"/>
              </w:rPr>
            </w:r>
          </w:p>
        </w:tc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Timing / 时间信息</w:t>
              <w:br/>
              <w:t>Publication date where available; otherwise first-seen timing / 优先记录发布日期；缺失时使用首次发现时间</w:t>
            </w:r>
            <w:r>
              <w:rPr>
                <w:b/>
                <w:color w:val="17365D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7"/>
              </w:rPr>
            </w:r>
          </w:p>
          <w:p>
            <w:pPr>
              <w:spacing w:after="20"/>
            </w:pPr>
            <w:r>
              <w:rPr>
                <w:rFonts w:eastAsia="Microsoft YaHei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color w:val="6B728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eastAsia="Microsoft YaHei"/>
        </w:rPr>
        <w:t>3. End-to-end business workflow  /  端到端业务流程</w:t>
      </w:r>
      <w:r>
        <w:rPr>
          <w:color w:val="2F75B5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Step / 步骤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Business purpose / 业务目的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Outcome / 结果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</w:tr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1. Collect / 采集</w:t>
            </w:r>
            <w:r>
              <w:rPr>
                <w:b/>
                <w:color w:val="17365D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Gather recent public updates from the 37 configured channels; the profile normally looks back 14 days.</w:t>
              <w:br/>
              <w:t>从 37 个配置渠道采集近期公开信息；profile 通常回看 14 天。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Source pool / 信息源池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2. Clean &amp; shortlist / 清洗与初筛</w:t>
            </w:r>
            <w:r>
              <w:rPr>
                <w:b/>
                <w:color w:val="17365D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Remove repeats, check freshness and filter low-value noise using Japan storage themes.</w:t>
              <w:br/>
              <w:t>去除重复、检查时效性，并按日本储能主题过滤低价值噪音。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Relevant candidates / 相关候选信息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3. AI relevance assessment / AI 相关性判断</w:t>
            </w:r>
            <w:r>
              <w:rPr>
                <w:b/>
                <w:color w:val="17365D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Agent 1 ranks items and assesses category, signal and confidence.</w:t>
              <w:br/>
              <w:t>Agent 1 对信息排序，并判断类别、信号及置信度。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Prioritized signals / 已排序信号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4. AI commercial interpretation / AI 商业解读</w:t>
            </w:r>
            <w:r>
              <w:rPr>
                <w:b/>
                <w:color w:val="17365D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Agent 2 identifies the entity, explains strategic impact and proposes a practical follow-up.</w:t>
              <w:br/>
              <w:t>Agent 2 识别相关主体，解释战略影响并提出可执行的跟进建议。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Actionable context / 可行动的业务语境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5. Executive synthesis / 管理层汇总</w:t>
            </w:r>
            <w:r>
              <w:rPr>
                <w:b/>
                <w:color w:val="17365D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Organize leading items into policy, OCCTO/grid, market rules, competitors and financing/M&amp;A, then create the overall summary and watchlist.</w:t>
              <w:br/>
              <w:t>将重点信息按政策、OCCTO/电网、市场规则、竞争者及融资/M&amp;A 归类，并形成总体摘要和观察清单。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Executive view / 管理层视图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</w:tr>
      <w:tr>
        <w:tc>
          <w:tcPr>
            <w:tcW w:type="dxa" w:w="3408"/>
            <w:shd w:fill="DDEB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6. Deliver &amp; trace / 交付与溯源</w:t>
            </w:r>
            <w:r>
              <w:rPr>
                <w:b/>
                <w:color w:val="17365D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17365D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Produce a Word briefing with links to original public sources; delivery can be scheduled and emailed when enabled.</w:t>
              <w:br/>
              <w:t>生成带原始公开来源链接的 Word 简报；启用后可定时运行并通过邮件交付。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  <w:tc>
          <w:tcPr>
            <w:tcW w:type="dxa" w:w="3408"/>
            <w:shd w:fill="F3F7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Traceable report / 可追溯报告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</w:tr>
    </w:tbl>
    <w:p/>
    <w:p>
      <w:pPr>
        <w:pStyle w:val="Heading1"/>
        <w:keepNext/>
      </w:pPr>
      <w:r>
        <w:rPr>
          <w:rFonts w:eastAsia="Microsoft YaHei"/>
        </w:rPr>
        <w:t>4. Executive output  /  管理层交付内容</w:t>
      </w:r>
      <w:r>
        <w:rPr>
          <w:color w:val="2F75B5"/>
        </w:rPr>
      </w:r>
    </w:p>
    <w:p>
      <w:pPr>
        <w:pStyle w:val="ListBullet"/>
        <w:spacing w:after="40"/>
      </w:pPr>
      <w:r>
        <w:rPr>
          <w:rFonts w:eastAsia="Microsoft YaHei"/>
        </w:rPr>
        <w:t>Executive Summary — a concise overall read on the Japan BESS market and its strategic implications.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Executive Summary —— 对日本 BESS 市场及其战略影响的精炼总体判断。</w:t>
      </w:r>
    </w:p>
    <w:p>
      <w:pPr>
        <w:pStyle w:val="ListBullet"/>
        <w:spacing w:after="40"/>
      </w:pPr>
      <w:r>
        <w:rPr>
          <w:rFonts w:eastAsia="Microsoft YaHei"/>
        </w:rPr>
        <w:t>Decision Themes — prioritized updates across policy, OCCTO/grid, market rules, competitors, and financing/M&amp;A.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Decision Themes —— 按政策、OCCTO/电网、市场规则、竞争者及融资/M&amp;A 分类呈现重点动态。</w:t>
      </w:r>
    </w:p>
    <w:p>
      <w:pPr>
        <w:pStyle w:val="ListBullet"/>
        <w:spacing w:after="40"/>
      </w:pPr>
      <w:r>
        <w:rPr>
          <w:rFonts w:eastAsia="Microsoft YaHei"/>
        </w:rPr>
        <w:t>Tracker &amp; Watchlist — recommended follow-ups, upcoming events and risks; ownership and status remain under team control.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Tracker &amp; Watchlist —— 汇总建议跟进事项、即将发生的事件及风险；负责人和状态仍由团队人工维护。</w:t>
      </w:r>
    </w:p>
    <w:p>
      <w:pPr>
        <w:pStyle w:val="ListBullet"/>
        <w:spacing w:after="40"/>
      </w:pPr>
      <w:r>
        <w:rPr>
          <w:rFonts w:eastAsia="Microsoft YaHei"/>
        </w:rPr>
        <w:t>Source Citations — direct links to original public sources for validation and deeper reading.</w:t>
      </w:r>
    </w:p>
    <w:p>
      <w:pPr>
        <w:pStyle w:val="ListBullet"/>
        <w:spacing w:after="120"/>
      </w:pPr>
      <w:r>
        <w:rPr>
          <w:rFonts w:eastAsia="Microsoft YaHei"/>
          <w:color w:val="6B7280"/>
          <w:sz w:val="19"/>
        </w:rPr>
        <w:t>Source Citations —— 提供原始公开来源链接，便于核实和进一步阅读。</w:t>
      </w:r>
    </w:p>
    <w:p>
      <w:pPr>
        <w:pStyle w:val="Heading1"/>
        <w:keepNext/>
      </w:pPr>
      <w:r>
        <w:rPr>
          <w:rFonts w:eastAsia="Microsoft YaHei"/>
        </w:rPr>
        <w:t>5. Governance and boundaries  /  管控与边界</w:t>
      </w:r>
      <w:r>
        <w:rPr>
          <w:color w:val="2F75B5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Control / 管控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  <w:tc>
          <w:tcPr>
            <w:tcW w:type="dxa" w:w="5112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Executive implication / 对管理层的含义</w:t>
            </w:r>
            <w:r>
              <w:rPr>
                <w:b/>
                <w:color w:val="FFFFFF"/>
                <w:sz w:val="18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FFFFFF"/>
                <w:sz w:val="17"/>
              </w:rPr>
            </w:r>
          </w:p>
        </w:tc>
      </w:tr>
      <w:tr>
        <w:tc>
          <w:tcPr>
            <w:tcW w:type="dxa" w:w="51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Authoritative-source priority / 权威来源优先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51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Government and market-operator sources lead; sector media supplements context.</w:t>
              <w:br/>
              <w:t>政府及市场运营机构来源优先，行业媒体用于补充背景。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5112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No autonomous decisions / 不作自主决策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5112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Outputs support strategic monitoring but do not make investment, bidding or commercial commitments.</w:t>
              <w:br/>
              <w:t>输出用于支持战略监测，不会自主作出投资、竞标或商业承诺。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51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Human review remains required / 仍需人工复核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5112"/>
            <w:shd w:fill="FFFFFF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Material decisions should be checked against original sources, current market conditions and internal expertise.</w:t>
              <w:br/>
              <w:t>重大决策应结合原始来源、当前市场情况及内部专业判断进行复核。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  <w:tr>
        <w:tc>
          <w:tcPr>
            <w:tcW w:type="dxa" w:w="5112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Public-source limitations / 公开来源局限</w:t>
            </w:r>
            <w:r>
              <w:rPr>
                <w:b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/>
                <w:color w:val="6B7280"/>
                <w:sz w:val="16"/>
              </w:rPr>
            </w:r>
          </w:p>
        </w:tc>
        <w:tc>
          <w:tcPr>
            <w:tcW w:type="dxa" w:w="5112"/>
            <w:shd w:fill="F2F2F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/>
            </w:pPr>
            <w:r>
              <w:rPr>
                <w:rFonts w:eastAsia="Microsoft YaHei"/>
              </w:rPr>
              <w:t>Publication delays, missing details, ambiguous wording or inaccessible pages can affect completeness and interpretation.</w:t>
              <w:br/>
              <w:t>发布延迟、细节缺失、表述歧义或页面不可访问，均可能影响完整性和判断。</w:t>
            </w:r>
            <w:r>
              <w:rPr>
                <w:b w:val="0"/>
                <w:sz w:val="17"/>
              </w:rPr>
            </w:r>
          </w:p>
          <w:p>
            <w:pPr>
              <w:spacing w:after="0"/>
            </w:pPr>
            <w:r>
              <w:rPr>
                <w:rFonts w:eastAsia="Microsoft YaHei"/>
                <w:b w:val="0"/>
                <w:color w:val="6B7280"/>
                <w:sz w:val="16"/>
              </w:rPr>
            </w:r>
          </w:p>
        </w:tc>
      </w:tr>
    </w:tbl>
    <w:p>
      <w:pPr>
        <w:spacing w:before="200"/>
        <w:jc w:val="center"/>
      </w:pPr>
      <w:r>
        <w:rPr>
          <w:rFonts w:eastAsia="Microsoft YaHei"/>
          <w:b/>
          <w:color w:val="17365D"/>
          <w:sz w:val="22"/>
        </w:rPr>
        <w:t>Bottom line: two AI roles convert 37 public channels into one prioritized, actionable and traceable Japan energy storage executive briefing.</w:t>
      </w:r>
    </w:p>
    <w:p>
      <w:pPr>
        <w:jc w:val="center"/>
      </w:pPr>
      <w:r>
        <w:rPr>
          <w:rFonts w:eastAsia="Microsoft YaHei"/>
          <w:b/>
          <w:color w:val="2F75B5"/>
          <w:sz w:val="20"/>
        </w:rPr>
        <w:t>结论：两个 AI 角色将 37 个公开信息渠道转化为一份有优先级、可行动、可追溯的日本储能管理层简报。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Internal working document  •  29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USD/JPY NEWS TRACKER  |  EXECUTIVE OVERVIEW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Japan Energy Storage Intelligence Tracker — Executive Operating Overview</dc:title>
  <dc:subject>AI roles, public information sources, workflow, outputs and controls</dc:subject>
  <dc:creator>Finance News Tracker</dc:creator>
  <cp:keywords>Japan, energy storage, BESS, executive briefing, AI</cp:keywords>
  <dc:description>Updated for executive review on 29 July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