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160"/>
      </w:pPr>
      <w:r>
        <w:rPr>
          <w:b/>
          <w:color w:val="17365D"/>
          <w:sz w:val="60"/>
        </w:rPr>
        <w:t>USD/JPY News Tracker</w:t>
      </w:r>
    </w:p>
    <w:p>
      <w:pPr>
        <w:spacing w:after="360"/>
      </w:pPr>
      <w:r>
        <w:rPr>
          <w:b/>
          <w:color w:val="2F75B5"/>
          <w:sz w:val="36"/>
        </w:rPr>
        <w:t>Executive Operating Overview / 管理层运营概览</w:t>
      </w:r>
    </w:p>
    <w:p>
      <w:pPr>
        <w:spacing w:after="360"/>
      </w:pPr>
      <w:r>
        <w:rPr>
          <w:color w:val="6B7280"/>
          <w:sz w:val="23"/>
        </w:rPr>
        <w:t>A concise view of the AI roles, information sources, workflow, outputs and controls.</w:t>
      </w:r>
    </w:p>
    <w:p>
      <w:pPr>
        <w:spacing w:after="480"/>
      </w:pPr>
      <w:r>
        <w:rPr>
          <w:color w:val="6B7280"/>
          <w:sz w:val="21"/>
        </w:rPr>
        <w:t>简要说明当前 AI 角色、信息来源、工作流程、交付物与管控边界。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DEBF7"/>
            <w:tcMar>
              <w:top w:w="14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17365D"/>
                <w:sz w:val="48"/>
              </w:rPr>
              <w:t>2</w:t>
            </w:r>
          </w:p>
          <w:p>
            <w:pPr>
              <w:spacing w:after="20"/>
              <w:jc w:val="center"/>
            </w:pPr>
            <w:r>
              <w:rPr>
                <w:b/>
                <w:sz w:val="19"/>
              </w:rPr>
              <w:t>AI roles</w:t>
            </w:r>
          </w:p>
          <w:p>
            <w:pPr>
              <w:spacing w:after="0"/>
              <w:jc w:val="center"/>
            </w:pPr>
            <w:r>
              <w:rPr>
                <w:color w:val="6B7280"/>
                <w:sz w:val="17"/>
              </w:rPr>
              <w:t>AI 角色</w:t>
            </w:r>
          </w:p>
        </w:tc>
        <w:tc>
          <w:tcPr>
            <w:tcW w:type="dxa" w:w="3408"/>
            <w:shd w:fill="F3F7FB"/>
            <w:tcMar>
              <w:top w:w="14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17365D"/>
                <w:sz w:val="48"/>
              </w:rPr>
              <w:t>9</w:t>
            </w:r>
          </w:p>
          <w:p>
            <w:pPr>
              <w:spacing w:after="20"/>
              <w:jc w:val="center"/>
            </w:pPr>
            <w:r>
              <w:rPr>
                <w:b/>
                <w:sz w:val="19"/>
              </w:rPr>
              <w:t>source channels</w:t>
            </w:r>
          </w:p>
          <w:p>
            <w:pPr>
              <w:spacing w:after="0"/>
              <w:jc w:val="center"/>
            </w:pPr>
            <w:r>
              <w:rPr>
                <w:color w:val="6B7280"/>
                <w:sz w:val="17"/>
              </w:rPr>
              <w:t>信息渠道</w:t>
            </w:r>
          </w:p>
        </w:tc>
        <w:tc>
          <w:tcPr>
            <w:tcW w:type="dxa" w:w="3408"/>
            <w:shd w:fill="F2F2F2"/>
            <w:tcMar>
              <w:top w:w="14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17365D"/>
                <w:sz w:val="48"/>
              </w:rPr>
              <w:t>1</w:t>
            </w:r>
          </w:p>
          <w:p>
            <w:pPr>
              <w:spacing w:after="20"/>
              <w:jc w:val="center"/>
            </w:pPr>
            <w:r>
              <w:rPr>
                <w:b/>
                <w:sz w:val="19"/>
              </w:rPr>
              <w:t>executive brief</w:t>
            </w:r>
          </w:p>
          <w:p>
            <w:pPr>
              <w:spacing w:after="0"/>
              <w:jc w:val="center"/>
            </w:pPr>
            <w:r>
              <w:rPr>
                <w:color w:val="6B7280"/>
                <w:sz w:val="17"/>
              </w:rPr>
              <w:t>管理层简报</w:t>
            </w:r>
          </w:p>
        </w:tc>
      </w:tr>
    </w:tbl>
    <w:p/>
    <w:p>
      <w:pPr>
        <w:pStyle w:val="Heading1"/>
        <w:keepNext/>
      </w:pPr>
      <w:r>
        <w:t>Executive takeaway</w:t>
      </w:r>
      <w:r>
        <w:rPr>
          <w:color w:val="2F75B5"/>
        </w:rPr>
        <w:t xml:space="preserve">  /  管理层要点</w:t>
      </w:r>
    </w:p>
    <w:p>
      <w:pPr>
        <w:spacing w:after="40"/>
      </w:pPr>
      <w:r>
        <w:t>The tracker currently uses two distinct AI roles: one evaluates each news item for USD/JPY relevance and direction; the other interprets market impact and produces the executive briefing.</w:t>
      </w:r>
    </w:p>
    <w:p>
      <w:pPr>
        <w:spacing w:after="120"/>
      </w:pPr>
      <w:r>
        <w:rPr>
          <w:color w:val="6B7280"/>
          <w:sz w:val="19"/>
        </w:rPr>
        <w:t>系统目前设有两个明确的 AI 角色：第一个判断每条新闻与 USD/JPY 的相关性和可能方向；第二个解读市场影响并生成管理层简报。</w:t>
      </w:r>
    </w:p>
    <w:p>
      <w:pPr>
        <w:spacing w:after="40"/>
      </w:pPr>
      <w:r>
        <w:t>News collection, scheduling, duplicate removal and delivery are automated workflow components—not separate AI Agents.</w:t>
      </w:r>
    </w:p>
    <w:p>
      <w:pPr>
        <w:spacing w:after="120"/>
      </w:pPr>
      <w:r>
        <w:rPr>
          <w:color w:val="6B7280"/>
          <w:sz w:val="19"/>
        </w:rPr>
        <w:t>新闻采集、定时运行、去重和交付属于自动化流程，并不是独立的 AI Agent。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1  Collect</w:t>
            </w:r>
          </w:p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采集</w:t>
            </w:r>
          </w:p>
        </w:tc>
        <w:tc>
          <w:tcPr>
            <w:tcW w:type="dxa" w:w="255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2  AI screen</w:t>
            </w:r>
          </w:p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AI 筛选</w:t>
            </w:r>
          </w:p>
        </w:tc>
        <w:tc>
          <w:tcPr>
            <w:tcW w:type="dxa" w:w="255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3  AI interpret</w:t>
            </w:r>
          </w:p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AI 解读</w:t>
            </w:r>
          </w:p>
        </w:tc>
        <w:tc>
          <w:tcPr>
            <w:tcW w:type="dxa" w:w="255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4  Deliver</w:t>
            </w:r>
          </w:p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交付</w:t>
            </w:r>
          </w:p>
        </w:tc>
      </w:tr>
      <w:tr>
        <w:tc>
          <w:tcPr>
            <w:tcW w:type="dxa" w:w="2556"/>
            <w:shd w:fill="F3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Recent public news</w:t>
            </w:r>
          </w:p>
          <w:p>
            <w:pPr>
              <w:spacing w:after="0"/>
            </w:pPr>
            <w:r>
              <w:rPr>
                <w:b w:val="0"/>
                <w:color w:val="6B7280"/>
                <w:sz w:val="16"/>
              </w:rPr>
              <w:t>近期公开新闻</w:t>
            </w:r>
          </w:p>
        </w:tc>
        <w:tc>
          <w:tcPr>
            <w:tcW w:type="dxa" w:w="2556"/>
            <w:shd w:fill="F2F2F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Relevance &amp; direction</w:t>
            </w:r>
          </w:p>
          <w:p>
            <w:pPr>
              <w:spacing w:after="0"/>
            </w:pPr>
            <w:r>
              <w:rPr>
                <w:b w:val="0"/>
                <w:color w:val="6B7280"/>
                <w:sz w:val="16"/>
              </w:rPr>
              <w:t>相关性与方向</w:t>
            </w:r>
          </w:p>
        </w:tc>
        <w:tc>
          <w:tcPr>
            <w:tcW w:type="dxa" w:w="2556"/>
            <w:shd w:fill="F3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Impact &amp; watchlist</w:t>
            </w:r>
          </w:p>
          <w:p>
            <w:pPr>
              <w:spacing w:after="0"/>
            </w:pPr>
            <w:r>
              <w:rPr>
                <w:b w:val="0"/>
                <w:color w:val="6B7280"/>
                <w:sz w:val="16"/>
              </w:rPr>
              <w:t>影响与观察清单</w:t>
            </w:r>
          </w:p>
        </w:tc>
        <w:tc>
          <w:tcPr>
            <w:tcW w:type="dxa" w:w="2556"/>
            <w:shd w:fill="F2F2F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Word executive brief</w:t>
            </w:r>
          </w:p>
          <w:p>
            <w:pPr>
              <w:spacing w:after="0"/>
            </w:pPr>
            <w:r>
              <w:rPr>
                <w:b w:val="0"/>
                <w:color w:val="6B7280"/>
                <w:sz w:val="16"/>
              </w:rPr>
              <w:t>Word 管理层简报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1. Current AI Agent model</w:t>
      </w:r>
      <w:r>
        <w:rPr>
          <w:color w:val="2F75B5"/>
        </w:rPr>
        <w:t xml:space="preserve">  /  当前 AI Agent 模式</w:t>
      </w:r>
    </w:p>
    <w:p>
      <w:pPr>
        <w:spacing w:after="200"/>
      </w:pPr>
      <w:r>
        <w:rPr>
          <w:b/>
          <w:color w:val="548235"/>
          <w:sz w:val="26"/>
        </w:rPr>
        <w:t>Business definition: 2 AI Agents /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255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AI role</w:t>
            </w:r>
          </w:p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AI 角色</w:t>
            </w:r>
          </w:p>
        </w:tc>
        <w:tc>
          <w:tcPr>
            <w:tcW w:type="dxa" w:w="255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Primary task</w:t>
            </w:r>
          </w:p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主要任务</w:t>
            </w:r>
          </w:p>
        </w:tc>
        <w:tc>
          <w:tcPr>
            <w:tcW w:type="dxa" w:w="255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Business output</w:t>
            </w:r>
          </w:p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业务产出</w:t>
            </w:r>
          </w:p>
        </w:tc>
        <w:tc>
          <w:tcPr>
            <w:tcW w:type="dxa" w:w="255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What it does not do</w:t>
            </w:r>
          </w:p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不负责事项</w:t>
            </w:r>
          </w:p>
        </w:tc>
      </w:tr>
      <w:tr>
        <w:tc>
          <w:tcPr>
            <w:tcW w:type="dxa" w:w="255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sz w:val="17"/>
              </w:rPr>
              <w:t>Agent 1</w:t>
              <w:br/>
              <w:t>News Relevance &amp; Signal</w:t>
            </w:r>
          </w:p>
          <w:p>
            <w:pPr>
              <w:spacing w:after="0"/>
            </w:pPr>
            <w:r>
              <w:rPr>
                <w:b/>
                <w:color w:val="6B7280"/>
                <w:sz w:val="16"/>
              </w:rPr>
              <w:t>新闻相关性与信号判断</w:t>
            </w:r>
          </w:p>
        </w:tc>
        <w:tc>
          <w:tcPr>
            <w:tcW w:type="dxa" w:w="255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Reviews each shortlisted item; assesses USD/JPY relevance, theme, likely direction and confidence.</w:t>
            </w:r>
          </w:p>
          <w:p>
            <w:pPr>
              <w:spacing w:after="0"/>
            </w:pPr>
            <w:r>
              <w:rPr>
                <w:b w:val="0"/>
                <w:color w:val="6B7280"/>
                <w:sz w:val="16"/>
              </w:rPr>
              <w:t>审阅每条候选新闻，判断 USD/JPY 相关性、主题、可能方向及置信度。</w:t>
            </w:r>
          </w:p>
        </w:tc>
        <w:tc>
          <w:tcPr>
            <w:tcW w:type="dxa" w:w="255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Prioritized news with a short explanation of why it matters.</w:t>
            </w:r>
          </w:p>
          <w:p>
            <w:pPr>
              <w:spacing w:after="0"/>
            </w:pPr>
            <w:r>
              <w:rPr>
                <w:b w:val="0"/>
                <w:color w:val="6B7280"/>
                <w:sz w:val="16"/>
              </w:rPr>
              <w:t>形成新闻优先级及“为何重要”的简要说明。</w:t>
            </w:r>
          </w:p>
        </w:tc>
        <w:tc>
          <w:tcPr>
            <w:tcW w:type="dxa" w:w="255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Does not execute trades or prove price causality.</w:t>
            </w:r>
          </w:p>
          <w:p>
            <w:pPr>
              <w:spacing w:after="0"/>
            </w:pPr>
            <w:r>
              <w:rPr>
                <w:b w:val="0"/>
                <w:color w:val="6B7280"/>
                <w:sz w:val="16"/>
              </w:rPr>
              <w:t>不执行交易，也不证明新闻与价格之间的因果关系。</w:t>
            </w:r>
          </w:p>
        </w:tc>
      </w:tr>
      <w:tr>
        <w:tc>
          <w:tcPr>
            <w:tcW w:type="dxa" w:w="2556"/>
            <w:shd w:fill="F3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sz w:val="17"/>
              </w:rPr>
              <w:t>Agent 2</w:t>
              <w:br/>
              <w:t>Market Impact &amp; Briefing</w:t>
            </w:r>
          </w:p>
          <w:p>
            <w:pPr>
              <w:spacing w:after="0"/>
            </w:pPr>
            <w:r>
              <w:rPr>
                <w:b/>
                <w:color w:val="6B7280"/>
                <w:sz w:val="16"/>
              </w:rPr>
              <w:t>市场影响与简报生成</w:t>
            </w:r>
          </w:p>
        </w:tc>
        <w:tc>
          <w:tcPr>
            <w:tcW w:type="dxa" w:w="2556"/>
            <w:shd w:fill="F3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Interprets transmission to USD/JPY, identifies the key institution/theme, suggests follow-up, and synthesizes the overall market read.</w:t>
            </w:r>
          </w:p>
          <w:p>
            <w:pPr>
              <w:spacing w:after="0"/>
            </w:pPr>
            <w:r>
              <w:rPr>
                <w:b w:val="0"/>
                <w:color w:val="6B7280"/>
                <w:sz w:val="16"/>
              </w:rPr>
              <w:t>解读新闻如何影响 USD/JPY，识别关键机构或主题，提出后续关注点，并汇总整体市场判断。</w:t>
            </w:r>
          </w:p>
        </w:tc>
        <w:tc>
          <w:tcPr>
            <w:tcW w:type="dxa" w:w="2556"/>
            <w:shd w:fill="F3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Executive narrative, top stories, monitoring actions and watchlist.</w:t>
            </w:r>
          </w:p>
          <w:p>
            <w:pPr>
              <w:spacing w:after="0"/>
            </w:pPr>
            <w:r>
              <w:rPr>
                <w:b w:val="0"/>
                <w:color w:val="6B7280"/>
                <w:sz w:val="16"/>
              </w:rPr>
              <w:t>生成管理层摘要、重点新闻、监测建议及观察清单。</w:t>
            </w:r>
          </w:p>
        </w:tc>
        <w:tc>
          <w:tcPr>
            <w:tcW w:type="dxa" w:w="2556"/>
            <w:shd w:fill="F3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Does not replace trader judgment or real-time market terminals.</w:t>
            </w:r>
          </w:p>
          <w:p>
            <w:pPr>
              <w:spacing w:after="0"/>
            </w:pPr>
            <w:r>
              <w:rPr>
                <w:b w:val="0"/>
                <w:color w:val="6B7280"/>
                <w:sz w:val="16"/>
              </w:rPr>
              <w:t>不替代交易员判断或实时市场终端。</w:t>
            </w:r>
          </w:p>
        </w:tc>
      </w:tr>
    </w:tbl>
    <w:p/>
    <w:p>
      <w:pPr>
        <w:pStyle w:val="Heading2"/>
        <w:keepNext/>
      </w:pPr>
      <w:r>
        <w:t>How the roles work together</w:t>
      </w:r>
      <w:r>
        <w:rPr>
          <w:color w:val="2F75B5"/>
        </w:rPr>
        <w:t xml:space="preserve">  /  两个角色如何协作</w:t>
      </w:r>
    </w:p>
    <w:p>
      <w:pPr>
        <w:pStyle w:val="ListBullet"/>
        <w:spacing w:after="40"/>
      </w:pPr>
      <w:r>
        <w:t>Agent 1 creates consistency at scale by applying the same USD/JPY lens to every candidate item.</w:t>
      </w:r>
    </w:p>
    <w:p>
      <w:pPr>
        <w:pStyle w:val="ListBullet"/>
        <w:spacing w:after="120"/>
      </w:pPr>
      <w:r>
        <w:rPr>
          <w:color w:val="6B7280"/>
          <w:sz w:val="19"/>
        </w:rPr>
        <w:t>Agent 1 对所有候选新闻使用一致的 USD/JPY 判断标准，确保批量处理的一致性。</w:t>
      </w:r>
    </w:p>
    <w:p>
      <w:pPr>
        <w:pStyle w:val="ListBullet"/>
        <w:spacing w:after="40"/>
      </w:pPr>
      <w:r>
        <w:t>Agent 2 adds context and converts the ranked items into an executive-level view of market drivers and next watchpoints.</w:t>
      </w:r>
    </w:p>
    <w:p>
      <w:pPr>
        <w:pStyle w:val="ListBullet"/>
        <w:spacing w:after="120"/>
      </w:pPr>
      <w:r>
        <w:rPr>
          <w:color w:val="6B7280"/>
          <w:sz w:val="19"/>
        </w:rPr>
        <w:t>Agent 2 补充市场语境，将已排序新闻转化为管理层可读的市场驱动因素及后续观察点。</w:t>
      </w:r>
    </w:p>
    <w:p>
      <w:pPr>
        <w:pStyle w:val="ListBullet"/>
        <w:spacing w:after="40"/>
      </w:pPr>
      <w:r>
        <w:t>The two roles can use different AI models if required, while remaining one controlled workflow.</w:t>
      </w:r>
    </w:p>
    <w:p>
      <w:pPr>
        <w:pStyle w:val="ListBullet"/>
        <w:spacing w:after="120"/>
      </w:pPr>
      <w:r>
        <w:rPr>
          <w:color w:val="6B7280"/>
          <w:sz w:val="19"/>
        </w:rPr>
        <w:t>如业务需要，两个角色可使用不同 AI 模型，但仍在同一受控流程内运行。</w:t>
      </w:r>
    </w:p>
    <w:p>
      <w:r>
        <w:br w:type="page"/>
      </w:r>
    </w:p>
    <w:p>
      <w:pPr>
        <w:pStyle w:val="Heading1"/>
        <w:keepNext/>
      </w:pPr>
      <w:r>
        <w:t>2. Information sources</w:t>
      </w:r>
      <w:r>
        <w:rPr>
          <w:color w:val="2F75B5"/>
        </w:rPr>
        <w:t xml:space="preserve">  /  信息来源</w:t>
      </w:r>
    </w:p>
    <w:p>
      <w:pPr>
        <w:spacing w:after="40"/>
      </w:pPr>
      <w:r>
        <w:t>The current scope comprises nine public source channels across official institutions and established financial media. Official policy sources receive priority; FX media provides supplementary market context.</w:t>
      </w:r>
    </w:p>
    <w:p>
      <w:pPr>
        <w:spacing w:after="120"/>
      </w:pPr>
      <w:r>
        <w:rPr>
          <w:color w:val="6B7280"/>
          <w:sz w:val="19"/>
        </w:rPr>
        <w:t>当前覆盖 9 个公开信息渠道，包括官方机构和主流财经媒体。官方政策来源优先，外汇媒体用于补充市场观点。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Source group</w:t>
            </w:r>
          </w:p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来源类别</w:t>
            </w:r>
          </w:p>
        </w:tc>
        <w:tc>
          <w:tcPr>
            <w:tcW w:type="dxa" w:w="3408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Current channels</w:t>
            </w:r>
          </w:p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当前渠道</w:t>
            </w:r>
          </w:p>
        </w:tc>
        <w:tc>
          <w:tcPr>
            <w:tcW w:type="dxa" w:w="3408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Information captured</w:t>
            </w:r>
          </w:p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抓取内容</w:t>
            </w:r>
          </w:p>
        </w:tc>
      </w:tr>
      <w:tr>
        <w:tc>
          <w:tcPr>
            <w:tcW w:type="dxa" w:w="340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sz w:val="17"/>
              </w:rPr>
              <w:t>Japan — official</w:t>
            </w:r>
          </w:p>
          <w:p>
            <w:pPr>
              <w:spacing w:after="0"/>
            </w:pPr>
            <w:r>
              <w:rPr>
                <w:b/>
                <w:color w:val="6B7280"/>
                <w:sz w:val="16"/>
              </w:rPr>
              <w:t>日本官方</w:t>
            </w:r>
          </w:p>
        </w:tc>
        <w:tc>
          <w:tcPr>
            <w:tcW w:type="dxa" w:w="340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Bank of Japan: What's New</w:t>
              <w:br/>
              <w:t>Bank of Japan: Statistics</w:t>
            </w:r>
          </w:p>
          <w:p>
            <w:pPr>
              <w:spacing w:after="0"/>
            </w:pPr>
            <w:r>
              <w:rPr>
                <w:b w:val="0"/>
                <w:color w:val="6B7280"/>
                <w:sz w:val="16"/>
              </w:rPr>
              <w:t>日本银行：最新发布</w:t>
              <w:br/>
              <w:t>日本银行：统计数据</w:t>
            </w:r>
          </w:p>
        </w:tc>
        <w:tc>
          <w:tcPr>
            <w:tcW w:type="dxa" w:w="340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Policy announcements, official publications, monetary and economic statistics.</w:t>
            </w:r>
          </w:p>
          <w:p>
            <w:pPr>
              <w:spacing w:after="0"/>
            </w:pPr>
            <w:r>
              <w:rPr>
                <w:b w:val="0"/>
                <w:color w:val="6B7280"/>
                <w:sz w:val="16"/>
              </w:rPr>
              <w:t>政策公告、官方发布、货币及经济统计数据。</w:t>
            </w:r>
          </w:p>
        </w:tc>
      </w:tr>
      <w:tr>
        <w:tc>
          <w:tcPr>
            <w:tcW w:type="dxa" w:w="3408"/>
            <w:shd w:fill="F3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sz w:val="17"/>
              </w:rPr>
              <w:t>Japan — media</w:t>
            </w:r>
          </w:p>
          <w:p>
            <w:pPr>
              <w:spacing w:after="0"/>
            </w:pPr>
            <w:r>
              <w:rPr>
                <w:b/>
                <w:color w:val="6B7280"/>
                <w:sz w:val="16"/>
              </w:rPr>
              <w:t>日本媒体</w:t>
            </w:r>
          </w:p>
        </w:tc>
        <w:tc>
          <w:tcPr>
            <w:tcW w:type="dxa" w:w="3408"/>
            <w:shd w:fill="F3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Nikkei Asia</w:t>
              <w:br/>
              <w:t>NHK WORLD-JAPAN</w:t>
            </w:r>
          </w:p>
          <w:p>
            <w:pPr>
              <w:spacing w:after="0"/>
            </w:pPr>
            <w:r>
              <w:rPr>
                <w:b w:val="0"/>
                <w:color w:val="6B7280"/>
                <w:sz w:val="16"/>
              </w:rPr>
              <w:t>Nikkei Asia</w:t>
              <w:br/>
              <w:t>NHK WORLD-JAPAN</w:t>
            </w:r>
          </w:p>
        </w:tc>
        <w:tc>
          <w:tcPr>
            <w:tcW w:type="dxa" w:w="3408"/>
            <w:shd w:fill="F3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Japan macro, policy, corporate and market developments relevant to the yen.</w:t>
            </w:r>
          </w:p>
          <w:p>
            <w:pPr>
              <w:spacing w:after="0"/>
            </w:pPr>
            <w:r>
              <w:rPr>
                <w:b w:val="0"/>
                <w:color w:val="6B7280"/>
                <w:sz w:val="16"/>
              </w:rPr>
              <w:t>与日元相关的日本宏观、政策、企业及市场动态。</w:t>
            </w:r>
          </w:p>
        </w:tc>
      </w:tr>
      <w:tr>
        <w:tc>
          <w:tcPr>
            <w:tcW w:type="dxa" w:w="340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sz w:val="17"/>
              </w:rPr>
              <w:t>United States — official</w:t>
            </w:r>
          </w:p>
          <w:p>
            <w:pPr>
              <w:spacing w:after="0"/>
            </w:pPr>
            <w:r>
              <w:rPr>
                <w:b/>
                <w:color w:val="6B7280"/>
                <w:sz w:val="16"/>
              </w:rPr>
              <w:t>美国官方</w:t>
            </w:r>
          </w:p>
        </w:tc>
        <w:tc>
          <w:tcPr>
            <w:tcW w:type="dxa" w:w="340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Federal Reserve: monetary policy releases</w:t>
              <w:br/>
              <w:t>Federal Reserve: speeches</w:t>
              <w:br/>
              <w:t>US Treasury: press releases</w:t>
            </w:r>
          </w:p>
          <w:p>
            <w:pPr>
              <w:spacing w:after="0"/>
            </w:pPr>
            <w:r>
              <w:rPr>
                <w:b w:val="0"/>
                <w:color w:val="6B7280"/>
                <w:sz w:val="16"/>
              </w:rPr>
              <w:t>美联储：货币政策发布</w:t>
              <w:br/>
              <w:t>美联储：官员讲话</w:t>
              <w:br/>
              <w:t>美国财政部：新闻稿</w:t>
            </w:r>
          </w:p>
        </w:tc>
        <w:tc>
          <w:tcPr>
            <w:tcW w:type="dxa" w:w="340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Rate decisions, policy communication, speeches, fiscal and Treasury developments.</w:t>
            </w:r>
          </w:p>
          <w:p>
            <w:pPr>
              <w:spacing w:after="0"/>
            </w:pPr>
            <w:r>
              <w:rPr>
                <w:b w:val="0"/>
                <w:color w:val="6B7280"/>
                <w:sz w:val="16"/>
              </w:rPr>
              <w:t>利率决策、政策沟通、官员讲话、财政及美国国债动态。</w:t>
            </w:r>
          </w:p>
        </w:tc>
      </w:tr>
      <w:tr>
        <w:tc>
          <w:tcPr>
            <w:tcW w:type="dxa" w:w="3408"/>
            <w:shd w:fill="F3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sz w:val="17"/>
              </w:rPr>
              <w:t>FX market commentary</w:t>
            </w:r>
          </w:p>
          <w:p>
            <w:pPr>
              <w:spacing w:after="0"/>
            </w:pPr>
            <w:r>
              <w:rPr>
                <w:b/>
                <w:color w:val="6B7280"/>
                <w:sz w:val="16"/>
              </w:rPr>
              <w:t>外汇市场评论</w:t>
            </w:r>
          </w:p>
        </w:tc>
        <w:tc>
          <w:tcPr>
            <w:tcW w:type="dxa" w:w="3408"/>
            <w:shd w:fill="F3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FXStreet</w:t>
              <w:br/>
              <w:t>Investing.com Forex</w:t>
            </w:r>
          </w:p>
          <w:p>
            <w:pPr>
              <w:spacing w:after="0"/>
            </w:pPr>
            <w:r>
              <w:rPr>
                <w:b w:val="0"/>
                <w:color w:val="6B7280"/>
                <w:sz w:val="16"/>
              </w:rPr>
              <w:t>FXStreet</w:t>
              <w:br/>
              <w:t>Investing.com 外汇</w:t>
            </w:r>
          </w:p>
        </w:tc>
        <w:tc>
          <w:tcPr>
            <w:tcW w:type="dxa" w:w="3408"/>
            <w:shd w:fill="F3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Market reaction and FX commentary; treated as supporting context rather than primary official evidence.</w:t>
            </w:r>
          </w:p>
          <w:p>
            <w:pPr>
              <w:spacing w:after="0"/>
            </w:pPr>
            <w:r>
              <w:rPr>
                <w:b w:val="0"/>
                <w:color w:val="6B7280"/>
                <w:sz w:val="16"/>
              </w:rPr>
              <w:t>市场反应及外汇评论；作为辅助背景，不作为最高优先级的官方依据。</w:t>
            </w:r>
          </w:p>
        </w:tc>
      </w:tr>
    </w:tbl>
    <w:p/>
    <w:p>
      <w:pPr>
        <w:pStyle w:val="Heading2"/>
        <w:keepNext/>
      </w:pPr>
      <w:r>
        <w:t>What is captured</w:t>
      </w:r>
      <w:r>
        <w:rPr>
          <w:color w:val="2F75B5"/>
        </w:rPr>
        <w:t xml:space="preserve">  /  采集哪些数据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DEBF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17365D"/>
                <w:sz w:val="18"/>
              </w:rPr>
              <w:t>Headline &amp; excerpt</w:t>
            </w:r>
          </w:p>
          <w:p>
            <w:pPr>
              <w:spacing w:after="0"/>
            </w:pPr>
            <w:r>
              <w:rPr>
                <w:b/>
                <w:color w:val="17365D"/>
                <w:sz w:val="17"/>
              </w:rPr>
              <w:t>标题与摘要</w:t>
            </w:r>
          </w:p>
          <w:p>
            <w:pPr>
              <w:spacing w:after="20"/>
            </w:pPr>
            <w:r>
              <w:rPr>
                <w:sz w:val="17"/>
              </w:rPr>
              <w:t>Public headline and available summary/excerpt</w:t>
            </w:r>
          </w:p>
          <w:p>
            <w:pPr>
              <w:spacing w:after="0"/>
            </w:pPr>
            <w:r>
              <w:rPr>
                <w:color w:val="6B7280"/>
                <w:sz w:val="16"/>
              </w:rPr>
              <w:t>公开标题及可获取的摘要/摘录</w:t>
            </w:r>
          </w:p>
        </w:tc>
        <w:tc>
          <w:tcPr>
            <w:tcW w:type="dxa" w:w="3408"/>
            <w:shd w:fill="DDEBF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17365D"/>
                <w:sz w:val="18"/>
              </w:rPr>
              <w:t>Source &amp; link</w:t>
            </w:r>
          </w:p>
          <w:p>
            <w:pPr>
              <w:spacing w:after="0"/>
            </w:pPr>
            <w:r>
              <w:rPr>
                <w:b/>
                <w:color w:val="17365D"/>
                <w:sz w:val="17"/>
              </w:rPr>
              <w:t>来源与链接</w:t>
            </w:r>
          </w:p>
          <w:p>
            <w:pPr>
              <w:spacing w:after="20"/>
            </w:pPr>
            <w:r>
              <w:rPr>
                <w:sz w:val="17"/>
              </w:rPr>
              <w:t>Publisher identity and original URL</w:t>
            </w:r>
          </w:p>
          <w:p>
            <w:pPr>
              <w:spacing w:after="0"/>
            </w:pPr>
            <w:r>
              <w:rPr>
                <w:color w:val="6B7280"/>
                <w:sz w:val="16"/>
              </w:rPr>
              <w:t>发布方信息及原文链接</w:t>
            </w:r>
          </w:p>
        </w:tc>
        <w:tc>
          <w:tcPr>
            <w:tcW w:type="dxa" w:w="3408"/>
            <w:shd w:fill="DDEBF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17365D"/>
                <w:sz w:val="18"/>
              </w:rPr>
              <w:t>Timing</w:t>
            </w:r>
          </w:p>
          <w:p>
            <w:pPr>
              <w:spacing w:after="0"/>
            </w:pPr>
            <w:r>
              <w:rPr>
                <w:b/>
                <w:color w:val="17365D"/>
                <w:sz w:val="17"/>
              </w:rPr>
              <w:t>时间信息</w:t>
            </w:r>
          </w:p>
          <w:p>
            <w:pPr>
              <w:spacing w:after="20"/>
            </w:pPr>
            <w:r>
              <w:rPr>
                <w:sz w:val="17"/>
              </w:rPr>
              <w:t>Publication date where available; otherwise first-seen timing</w:t>
            </w:r>
          </w:p>
          <w:p>
            <w:pPr>
              <w:spacing w:after="0"/>
            </w:pPr>
            <w:r>
              <w:rPr>
                <w:color w:val="6B7280"/>
                <w:sz w:val="16"/>
              </w:rPr>
              <w:t>优先记录发布日期；缺失时使用首次发现时间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3. End-to-end business workflow</w:t>
      </w:r>
      <w:r>
        <w:rPr>
          <w:color w:val="2F75B5"/>
        </w:rPr>
        <w:t xml:space="preserve">  /  端到端业务流程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Step</w:t>
            </w:r>
          </w:p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步骤</w:t>
            </w:r>
          </w:p>
        </w:tc>
        <w:tc>
          <w:tcPr>
            <w:tcW w:type="dxa" w:w="3408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Business purpose</w:t>
            </w:r>
          </w:p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业务目的</w:t>
            </w:r>
          </w:p>
        </w:tc>
        <w:tc>
          <w:tcPr>
            <w:tcW w:type="dxa" w:w="3408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Outcome</w:t>
            </w:r>
          </w:p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结果</w:t>
            </w:r>
          </w:p>
        </w:tc>
      </w:tr>
      <w:tr>
        <w:tc>
          <w:tcPr>
            <w:tcW w:type="dxa" w:w="3408"/>
            <w:shd w:fill="DDEBF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17365D"/>
                <w:sz w:val="17"/>
              </w:rPr>
              <w:t>1. Collect</w:t>
            </w:r>
          </w:p>
          <w:p>
            <w:pPr>
              <w:spacing w:after="0"/>
            </w:pPr>
            <w:r>
              <w:rPr>
                <w:b/>
                <w:color w:val="17365D"/>
                <w:sz w:val="16"/>
              </w:rPr>
              <w:t>采集</w:t>
            </w:r>
          </w:p>
        </w:tc>
        <w:tc>
          <w:tcPr>
            <w:tcW w:type="dxa" w:w="340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Gather recent public news from the nine configured channels.</w:t>
            </w:r>
          </w:p>
          <w:p>
            <w:pPr>
              <w:spacing w:after="0"/>
            </w:pPr>
            <w:r>
              <w:rPr>
                <w:b w:val="0"/>
                <w:color w:val="6B7280"/>
                <w:sz w:val="16"/>
              </w:rPr>
              <w:t>从 9 个已配置渠道采集近期公开新闻。</w:t>
            </w:r>
          </w:p>
        </w:tc>
        <w:tc>
          <w:tcPr>
            <w:tcW w:type="dxa" w:w="340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sz w:val="17"/>
              </w:rPr>
              <w:t>Source pool</w:t>
            </w:r>
          </w:p>
          <w:p>
            <w:pPr>
              <w:spacing w:after="0"/>
            </w:pPr>
            <w:r>
              <w:rPr>
                <w:b/>
                <w:color w:val="6B7280"/>
                <w:sz w:val="16"/>
              </w:rPr>
              <w:t>来源池</w:t>
            </w:r>
          </w:p>
        </w:tc>
      </w:tr>
      <w:tr>
        <w:tc>
          <w:tcPr>
            <w:tcW w:type="dxa" w:w="3408"/>
            <w:shd w:fill="DDEBF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17365D"/>
                <w:sz w:val="17"/>
              </w:rPr>
              <w:t>2. Clean &amp; shortlist</w:t>
            </w:r>
          </w:p>
          <w:p>
            <w:pPr>
              <w:spacing w:after="0"/>
            </w:pPr>
            <w:r>
              <w:rPr>
                <w:b/>
                <w:color w:val="17365D"/>
                <w:sz w:val="16"/>
              </w:rPr>
              <w:t>清理与初筛</w:t>
            </w:r>
          </w:p>
        </w:tc>
        <w:tc>
          <w:tcPr>
            <w:tcW w:type="dxa" w:w="3408"/>
            <w:shd w:fill="F3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Remove repeats, apply freshness checks and filter out low-value noise.</w:t>
            </w:r>
          </w:p>
          <w:p>
            <w:pPr>
              <w:spacing w:after="0"/>
            </w:pPr>
            <w:r>
              <w:rPr>
                <w:b w:val="0"/>
                <w:color w:val="6B7280"/>
                <w:sz w:val="16"/>
              </w:rPr>
              <w:t>去除重复内容，检查时效性，并过滤低价值噪音。</w:t>
            </w:r>
          </w:p>
        </w:tc>
        <w:tc>
          <w:tcPr>
            <w:tcW w:type="dxa" w:w="3408"/>
            <w:shd w:fill="F3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sz w:val="17"/>
              </w:rPr>
              <w:t>Relevant candidates</w:t>
            </w:r>
          </w:p>
          <w:p>
            <w:pPr>
              <w:spacing w:after="0"/>
            </w:pPr>
            <w:r>
              <w:rPr>
                <w:b/>
                <w:color w:val="6B7280"/>
                <w:sz w:val="16"/>
              </w:rPr>
              <w:t>相关候选新闻</w:t>
            </w:r>
          </w:p>
        </w:tc>
      </w:tr>
      <w:tr>
        <w:tc>
          <w:tcPr>
            <w:tcW w:type="dxa" w:w="3408"/>
            <w:shd w:fill="DDEBF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17365D"/>
                <w:sz w:val="17"/>
              </w:rPr>
              <w:t>3. AI relevance assessment</w:t>
            </w:r>
          </w:p>
          <w:p>
            <w:pPr>
              <w:spacing w:after="0"/>
            </w:pPr>
            <w:r>
              <w:rPr>
                <w:b/>
                <w:color w:val="17365D"/>
                <w:sz w:val="16"/>
              </w:rPr>
              <w:t>AI 相关性判断</w:t>
            </w:r>
          </w:p>
        </w:tc>
        <w:tc>
          <w:tcPr>
            <w:tcW w:type="dxa" w:w="340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Agent 1 ranks items and assesses topic, direction and confidence.</w:t>
            </w:r>
          </w:p>
          <w:p>
            <w:pPr>
              <w:spacing w:after="0"/>
            </w:pPr>
            <w:r>
              <w:rPr>
                <w:b w:val="0"/>
                <w:color w:val="6B7280"/>
                <w:sz w:val="16"/>
              </w:rPr>
              <w:t>Agent 1 对新闻排序，并判断主题、方向和置信度。</w:t>
            </w:r>
          </w:p>
        </w:tc>
        <w:tc>
          <w:tcPr>
            <w:tcW w:type="dxa" w:w="340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sz w:val="17"/>
              </w:rPr>
              <w:t>Ranked signals</w:t>
            </w:r>
          </w:p>
          <w:p>
            <w:pPr>
              <w:spacing w:after="0"/>
            </w:pPr>
            <w:r>
              <w:rPr>
                <w:b/>
                <w:color w:val="6B7280"/>
                <w:sz w:val="16"/>
              </w:rPr>
              <w:t>排序后的信号</w:t>
            </w:r>
          </w:p>
        </w:tc>
      </w:tr>
      <w:tr>
        <w:tc>
          <w:tcPr>
            <w:tcW w:type="dxa" w:w="3408"/>
            <w:shd w:fill="DDEBF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17365D"/>
                <w:sz w:val="17"/>
              </w:rPr>
              <w:t>4. AI impact interpretation</w:t>
            </w:r>
          </w:p>
          <w:p>
            <w:pPr>
              <w:spacing w:after="0"/>
            </w:pPr>
            <w:r>
              <w:rPr>
                <w:b/>
                <w:color w:val="17365D"/>
                <w:sz w:val="16"/>
              </w:rPr>
              <w:t>AI 影响解读</w:t>
            </w:r>
          </w:p>
        </w:tc>
        <w:tc>
          <w:tcPr>
            <w:tcW w:type="dxa" w:w="3408"/>
            <w:shd w:fill="F3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Agent 2 explains market transmission and identifies follow-up actions.</w:t>
            </w:r>
          </w:p>
          <w:p>
            <w:pPr>
              <w:spacing w:after="0"/>
            </w:pPr>
            <w:r>
              <w:rPr>
                <w:b w:val="0"/>
                <w:color w:val="6B7280"/>
                <w:sz w:val="16"/>
              </w:rPr>
              <w:t>Agent 2 解释市场传导逻辑并识别后续关注事项。</w:t>
            </w:r>
          </w:p>
        </w:tc>
        <w:tc>
          <w:tcPr>
            <w:tcW w:type="dxa" w:w="3408"/>
            <w:shd w:fill="F3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sz w:val="17"/>
              </w:rPr>
              <w:t>Actionable context</w:t>
            </w:r>
          </w:p>
          <w:p>
            <w:pPr>
              <w:spacing w:after="0"/>
            </w:pPr>
            <w:r>
              <w:rPr>
                <w:b/>
                <w:color w:val="6B7280"/>
                <w:sz w:val="16"/>
              </w:rPr>
              <w:t>可行动的市场语境</w:t>
            </w:r>
          </w:p>
        </w:tc>
      </w:tr>
      <w:tr>
        <w:tc>
          <w:tcPr>
            <w:tcW w:type="dxa" w:w="3408"/>
            <w:shd w:fill="DDEBF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17365D"/>
                <w:sz w:val="17"/>
              </w:rPr>
              <w:t>5. Executive synthesis</w:t>
            </w:r>
          </w:p>
          <w:p>
            <w:pPr>
              <w:spacing w:after="0"/>
            </w:pPr>
            <w:r>
              <w:rPr>
                <w:b/>
                <w:color w:val="17365D"/>
                <w:sz w:val="16"/>
              </w:rPr>
              <w:t>管理层汇总</w:t>
            </w:r>
          </w:p>
        </w:tc>
        <w:tc>
          <w:tcPr>
            <w:tcW w:type="dxa" w:w="340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Create the overall market read, top stories and watchlist.</w:t>
            </w:r>
          </w:p>
          <w:p>
            <w:pPr>
              <w:spacing w:after="0"/>
            </w:pPr>
            <w:r>
              <w:rPr>
                <w:b w:val="0"/>
                <w:color w:val="6B7280"/>
                <w:sz w:val="16"/>
              </w:rPr>
              <w:t>生成整体市场判断、重点新闻和观察清单。</w:t>
            </w:r>
          </w:p>
        </w:tc>
        <w:tc>
          <w:tcPr>
            <w:tcW w:type="dxa" w:w="340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sz w:val="17"/>
              </w:rPr>
              <w:t>Executive view</w:t>
            </w:r>
          </w:p>
          <w:p>
            <w:pPr>
              <w:spacing w:after="0"/>
            </w:pPr>
            <w:r>
              <w:rPr>
                <w:b/>
                <w:color w:val="6B7280"/>
                <w:sz w:val="16"/>
              </w:rPr>
              <w:t>管理层视图</w:t>
            </w:r>
          </w:p>
        </w:tc>
      </w:tr>
      <w:tr>
        <w:tc>
          <w:tcPr>
            <w:tcW w:type="dxa" w:w="3408"/>
            <w:shd w:fill="DDEBF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17365D"/>
                <w:sz w:val="17"/>
              </w:rPr>
              <w:t>6. Deliver &amp; trace</w:t>
            </w:r>
          </w:p>
          <w:p>
            <w:pPr>
              <w:spacing w:after="0"/>
            </w:pPr>
            <w:r>
              <w:rPr>
                <w:b/>
                <w:color w:val="17365D"/>
                <w:sz w:val="16"/>
              </w:rPr>
              <w:t>交付与溯源</w:t>
            </w:r>
          </w:p>
        </w:tc>
        <w:tc>
          <w:tcPr>
            <w:tcW w:type="dxa" w:w="3408"/>
            <w:shd w:fill="F3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Produce a Word briefing with links back to original public sources.</w:t>
            </w:r>
          </w:p>
          <w:p>
            <w:pPr>
              <w:spacing w:after="0"/>
            </w:pPr>
            <w:r>
              <w:rPr>
                <w:b w:val="0"/>
                <w:color w:val="6B7280"/>
                <w:sz w:val="16"/>
              </w:rPr>
              <w:t>生成 Word 简报，并保留原始公开来源链接以便追溯。</w:t>
            </w:r>
          </w:p>
        </w:tc>
        <w:tc>
          <w:tcPr>
            <w:tcW w:type="dxa" w:w="3408"/>
            <w:shd w:fill="F3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sz w:val="17"/>
              </w:rPr>
              <w:t>Traceable report</w:t>
            </w:r>
          </w:p>
          <w:p>
            <w:pPr>
              <w:spacing w:after="0"/>
            </w:pPr>
            <w:r>
              <w:rPr>
                <w:b/>
                <w:color w:val="6B7280"/>
                <w:sz w:val="16"/>
              </w:rPr>
              <w:t>可追溯报告</w:t>
            </w:r>
          </w:p>
        </w:tc>
      </w:tr>
    </w:tbl>
    <w:p/>
    <w:p>
      <w:pPr>
        <w:pStyle w:val="Heading1"/>
        <w:keepNext/>
      </w:pPr>
      <w:r>
        <w:t>4. Executive output</w:t>
      </w:r>
      <w:r>
        <w:rPr>
          <w:color w:val="2F75B5"/>
        </w:rPr>
        <w:t xml:space="preserve">  /  管理层交付内容</w:t>
      </w:r>
    </w:p>
    <w:p>
      <w:pPr>
        <w:pStyle w:val="ListBullet"/>
        <w:spacing w:after="40"/>
      </w:pPr>
      <w:r>
        <w:t>Market Read — a concise view of the main forces affecting USD/JPY.</w:t>
      </w:r>
    </w:p>
    <w:p>
      <w:pPr>
        <w:pStyle w:val="ListBullet"/>
        <w:spacing w:after="120"/>
      </w:pPr>
      <w:r>
        <w:rPr>
          <w:color w:val="6B7280"/>
          <w:sz w:val="19"/>
        </w:rPr>
        <w:t>Market Read —— 简明概括影响 USD/JPY 的主要力量。</w:t>
      </w:r>
    </w:p>
    <w:p>
      <w:pPr>
        <w:pStyle w:val="ListBullet"/>
        <w:spacing w:after="40"/>
      </w:pPr>
      <w:r>
        <w:t>Top Stories — prioritized developments with source, direction, relevance and business takeaway.</w:t>
      </w:r>
    </w:p>
    <w:p>
      <w:pPr>
        <w:pStyle w:val="ListBullet"/>
        <w:spacing w:after="120"/>
      </w:pPr>
      <w:r>
        <w:rPr>
          <w:color w:val="6B7280"/>
          <w:sz w:val="19"/>
        </w:rPr>
        <w:t>Top Stories —— 按优先级展示新闻来源、方向、相关性及业务要点。</w:t>
      </w:r>
    </w:p>
    <w:p>
      <w:pPr>
        <w:pStyle w:val="ListBullet"/>
        <w:spacing w:after="40"/>
      </w:pPr>
      <w:r>
        <w:t>Watchlist — upcoming decisions, data and risks that may move the currency pair.</w:t>
      </w:r>
    </w:p>
    <w:p>
      <w:pPr>
        <w:pStyle w:val="ListBullet"/>
        <w:spacing w:after="120"/>
      </w:pPr>
      <w:r>
        <w:rPr>
          <w:color w:val="6B7280"/>
          <w:sz w:val="19"/>
        </w:rPr>
        <w:t>Watchlist —— 列出可能影响汇率的后续决策、数据及风险。</w:t>
      </w:r>
    </w:p>
    <w:p>
      <w:pPr>
        <w:pStyle w:val="ListBullet"/>
        <w:spacing w:after="40"/>
      </w:pPr>
      <w:r>
        <w:t>Source Citations — direct links for validation and deeper reading.</w:t>
      </w:r>
    </w:p>
    <w:p>
      <w:pPr>
        <w:pStyle w:val="ListBullet"/>
        <w:spacing w:after="120"/>
      </w:pPr>
      <w:r>
        <w:rPr>
          <w:color w:val="6B7280"/>
          <w:sz w:val="19"/>
        </w:rPr>
        <w:t>Source Citations —— 提供原文链接，便于核实和进一步阅读。</w:t>
      </w:r>
    </w:p>
    <w:p>
      <w:pPr>
        <w:pStyle w:val="Heading1"/>
        <w:keepNext/>
      </w:pPr>
      <w:r>
        <w:t>5. Governance and boundaries</w:t>
      </w:r>
      <w:r>
        <w:rPr>
          <w:color w:val="2F75B5"/>
        </w:rPr>
        <w:t xml:space="preserve">  /  管控与边界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Control</w:t>
            </w:r>
          </w:p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管控</w:t>
            </w:r>
          </w:p>
        </w:tc>
        <w:tc>
          <w:tcPr>
            <w:tcW w:type="dxa" w:w="5112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Executive implication</w:t>
            </w:r>
          </w:p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管理层含义</w:t>
            </w:r>
          </w:p>
        </w:tc>
      </w:tr>
      <w:tr>
        <w:tc>
          <w:tcPr>
            <w:tcW w:type="dxa" w:w="5112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sz w:val="17"/>
              </w:rPr>
              <w:t>Official-source priority</w:t>
            </w:r>
          </w:p>
          <w:p>
            <w:pPr>
              <w:spacing w:after="0"/>
            </w:pPr>
            <w:r>
              <w:rPr>
                <w:b/>
                <w:color w:val="6B7280"/>
                <w:sz w:val="16"/>
              </w:rPr>
              <w:t>官方来源优先</w:t>
            </w:r>
          </w:p>
        </w:tc>
        <w:tc>
          <w:tcPr>
            <w:tcW w:type="dxa" w:w="5112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Policy sources lead; media commentary supplements interpretation.</w:t>
            </w:r>
          </w:p>
          <w:p>
            <w:pPr>
              <w:spacing w:after="0"/>
            </w:pPr>
            <w:r>
              <w:rPr>
                <w:b w:val="0"/>
                <w:color w:val="6B7280"/>
                <w:sz w:val="16"/>
              </w:rPr>
              <w:t>政策类官方来源优先，媒体评论用于补充解读。</w:t>
            </w:r>
          </w:p>
        </w:tc>
      </w:tr>
      <w:tr>
        <w:tc>
          <w:tcPr>
            <w:tcW w:type="dxa" w:w="5112"/>
            <w:shd w:fill="F2F2F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sz w:val="17"/>
              </w:rPr>
              <w:t>No autonomous trading</w:t>
            </w:r>
          </w:p>
          <w:p>
            <w:pPr>
              <w:spacing w:after="0"/>
            </w:pPr>
            <w:r>
              <w:rPr>
                <w:b/>
                <w:color w:val="6B7280"/>
                <w:sz w:val="16"/>
              </w:rPr>
              <w:t>不进行自动交易</w:t>
            </w:r>
          </w:p>
        </w:tc>
        <w:tc>
          <w:tcPr>
            <w:tcW w:type="dxa" w:w="5112"/>
            <w:shd w:fill="F2F2F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Outputs support decisions but never place or recommend trades.</w:t>
            </w:r>
          </w:p>
          <w:p>
            <w:pPr>
              <w:spacing w:after="0"/>
            </w:pPr>
            <w:r>
              <w:rPr>
                <w:b w:val="0"/>
                <w:color w:val="6B7280"/>
                <w:sz w:val="16"/>
              </w:rPr>
              <w:t>输出用于辅助决策，但不会执行或直接建议交易。</w:t>
            </w:r>
          </w:p>
        </w:tc>
      </w:tr>
      <w:tr>
        <w:tc>
          <w:tcPr>
            <w:tcW w:type="dxa" w:w="5112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sz w:val="17"/>
              </w:rPr>
              <w:t>Human review remains required</w:t>
            </w:r>
          </w:p>
          <w:p>
            <w:pPr>
              <w:spacing w:after="0"/>
            </w:pPr>
            <w:r>
              <w:rPr>
                <w:b/>
                <w:color w:val="6B7280"/>
                <w:sz w:val="16"/>
              </w:rPr>
              <w:t>仍需人工复核</w:t>
            </w:r>
          </w:p>
        </w:tc>
        <w:tc>
          <w:tcPr>
            <w:tcW w:type="dxa" w:w="5112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Material decisions should be checked against original sources and current market conditions.</w:t>
            </w:r>
          </w:p>
          <w:p>
            <w:pPr>
              <w:spacing w:after="0"/>
            </w:pPr>
            <w:r>
              <w:rPr>
                <w:b w:val="0"/>
                <w:color w:val="6B7280"/>
                <w:sz w:val="16"/>
              </w:rPr>
              <w:t>重要决策应结合原始来源及当时市场情况进行人工核实。</w:t>
            </w:r>
          </w:p>
        </w:tc>
      </w:tr>
      <w:tr>
        <w:tc>
          <w:tcPr>
            <w:tcW w:type="dxa" w:w="5112"/>
            <w:shd w:fill="F2F2F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sz w:val="17"/>
              </w:rPr>
              <w:t>Public-source limitations</w:t>
            </w:r>
          </w:p>
          <w:p>
            <w:pPr>
              <w:spacing w:after="0"/>
            </w:pPr>
            <w:r>
              <w:rPr>
                <w:b/>
                <w:color w:val="6B7280"/>
                <w:sz w:val="16"/>
              </w:rPr>
              <w:t>公开来源限制</w:t>
            </w:r>
          </w:p>
        </w:tc>
        <w:tc>
          <w:tcPr>
            <w:tcW w:type="dxa" w:w="5112"/>
            <w:shd w:fill="F2F2F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Delays, missing dates or ambiguous headlines can affect interpretation.</w:t>
            </w:r>
          </w:p>
          <w:p>
            <w:pPr>
              <w:spacing w:after="0"/>
            </w:pPr>
            <w:r>
              <w:rPr>
                <w:b w:val="0"/>
                <w:color w:val="6B7280"/>
                <w:sz w:val="16"/>
              </w:rPr>
              <w:t>信息延迟、日期缺失或标题歧义可能影响判断。</w:t>
            </w:r>
          </w:p>
        </w:tc>
      </w:tr>
    </w:tbl>
    <w:p>
      <w:pPr>
        <w:spacing w:before="200"/>
        <w:jc w:val="center"/>
      </w:pPr>
      <w:r>
        <w:rPr>
          <w:b/>
          <w:color w:val="17365D"/>
          <w:sz w:val="22"/>
        </w:rPr>
        <w:t>Bottom line: two AI roles convert nine public source channels into one traceable executive briefing.</w:t>
      </w:r>
    </w:p>
    <w:p>
      <w:pPr>
        <w:jc w:val="center"/>
      </w:pPr>
      <w:r>
        <w:rPr>
          <w:b/>
          <w:color w:val="2F75B5"/>
          <w:sz w:val="20"/>
        </w:rPr>
        <w:t>结论：两个 AI 角色将 9 个公开信息渠道整合为一份可追溯的管理层简报。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Internal working document  •  29 July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B7280"/>
        <w:sz w:val="16"/>
      </w:rPr>
      <w:t>USD/JPY NEWS TRACKER  |  EXECUTIVE OVERVIEW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160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USD/JPY News Tracker — Executive Operating Overview</dc:title>
  <dc:subject>AI roles, source coverage, workflow, output and governance</dc:subject>
  <dc:creator>Finance News Tracker</dc:creator>
  <cp:keywords/>
  <dc:description>Updated for executive review on 29 July 2026.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