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sz w:val="32"/>
        </w:rPr>
        <w:t>USD/JPY Executive Summary</w:t>
      </w:r>
    </w:p>
    <w:p>
      <w:pPr>
        <w:spacing w:before="0" w:after="40" w:line="240" w:lineRule="auto"/>
      </w:pPr>
      <w:r>
        <w:rPr>
          <w:color w:val="666666"/>
          <w:sz w:val="16"/>
        </w:rPr>
        <w:t>Generated 2026-06-03 04:28 UTC  |  Sources: Bank of Japan, Nikkei Asia, NHK WORLD-JAPAN</w:t>
      </w:r>
    </w:p>
    <w:p>
      <w:pPr>
        <w:spacing w:before="0" w:after="120" w:line="240" w:lineRule="auto"/>
      </w:pPr>
      <w:r>
        <w:rPr>
          <w:i/>
          <w:color w:val="666666"/>
          <w:sz w:val="16"/>
        </w:rPr>
        <w:t>Relevance scores are narrative FX-impact assessments, not statistical correlation with USD/JPY.</w:t>
      </w:r>
    </w:p>
    <w:p>
      <w:pPr>
        <w:spacing w:before="120" w:after="40" w:line="240" w:lineRule="auto"/>
      </w:pPr>
      <w:r>
        <w:rPr>
          <w:b/>
          <w:sz w:val="22"/>
        </w:rPr>
        <w:t>Market Read</w:t>
      </w:r>
    </w:p>
    <w:p>
      <w:pPr>
        <w:spacing w:before="0" w:after="120" w:line="240" w:lineRule="auto"/>
      </w:pPr>
      <w:r>
        <w:t>The yen's breach of 160 against the dollar has erased all gains from the BOJ's April 30 intervention, underscoring persistent market pressure from the US-Japan interest rate differential. Despite a flurry of BOJ data releases (monetary base, JGB holdings, bond market minutes) that could hint at future policy adjustments, no concrete hawkish signals have emerged to reverse the yen's depreciation trend. The intervention's limited impact reinforces the view that only a shift in BOJ policy or narrowing rate differentials can sustainably strengthen the yen.</w:t>
      </w:r>
    </w:p>
    <w:p>
      <w:pPr>
        <w:spacing w:before="120" w:after="40" w:line="240" w:lineRule="auto"/>
      </w:pPr>
      <w:r>
        <w:rPr>
          <w:b/>
          <w:sz w:val="22"/>
        </w:rPr>
        <w:t>USD/JPY Pressure</w:t>
      </w:r>
    </w:p>
    <w:p>
      <w:pPr>
        <w:spacing w:before="0" w:after="120" w:line="240" w:lineRule="auto"/>
      </w:pPr>
      <w:r>
        <w:rPr>
          <w:b/>
        </w:rPr>
        <w:t xml:space="preserve">View: </w:t>
      </w:r>
      <w:r>
        <w:t>Bullish USD/JPY</w:t>
      </w:r>
      <w:r>
        <w:rPr>
          <w:b/>
        </w:rPr>
        <w:t xml:space="preserve">    Confidence: </w:t>
      </w:r>
      <w:r>
        <w:t>high</w:t>
      </w:r>
    </w:p>
    <w:p>
      <w:pPr>
        <w:spacing w:before="120" w:after="40" w:line="240" w:lineRule="auto"/>
      </w:pPr>
      <w:r>
        <w:rPr>
          <w:b/>
          <w:sz w:val="22"/>
        </w:rPr>
        <w:t>Top Stories</w:t>
      </w:r>
    </w:p>
    <w:p>
      <w:pPr>
        <w:spacing w:before="0" w:after="80" w:line="240" w:lineRule="auto"/>
      </w:pPr>
      <w:r>
        <w:rPr>
          <w:b/>
        </w:rPr>
        <w:t>1. Yen touches 160 against dollar, erasing intervention gains</w:t>
      </w:r>
      <w:r>
        <w:rPr>
          <w:color w:val="666666"/>
          <w:sz w:val="16"/>
        </w:rPr>
        <w:t xml:space="preserve">  (Nikkei Asia · Relevance 95 · USD/JPY up (yen weaker))</w:t>
      </w:r>
      <w:r>
        <w:br/>
      </w:r>
      <w:r>
        <w:rPr>
          <w:sz w:val="18"/>
        </w:rPr>
        <w:t>The breach of 160 indicates that the BOJ's intervention lacked lasting impact, reinforcing the market view that the interest rate differential between Japan and the US will continue to drive yen depreciation.</w:t>
      </w:r>
    </w:p>
    <w:p>
      <w:pPr>
        <w:spacing w:before="0" w:after="80" w:line="240" w:lineRule="auto"/>
      </w:pPr>
      <w:r>
        <w:rPr>
          <w:b/>
        </w:rPr>
        <w:t>2. Japanese Government Bonds Held by the Bank of Japan</w:t>
      </w:r>
      <w:r>
        <w:rPr>
          <w:color w:val="666666"/>
          <w:sz w:val="16"/>
        </w:rPr>
        <w:t xml:space="preserve">  (BOJ Statistics · Relevance 85 · Unclear)</w:t>
      </w:r>
      <w:r>
        <w:br/>
      </w:r>
      <w:r>
        <w:rPr>
          <w:sz w:val="18"/>
        </w:rPr>
        <w:t>Changes in BOJ's JGB holdings affect JGB yields and USD/JPY through rate differentials.</w:t>
      </w:r>
    </w:p>
    <w:p>
      <w:pPr>
        <w:spacing w:before="0" w:after="80" w:line="240" w:lineRule="auto"/>
      </w:pPr>
      <w:r>
        <w:rPr>
          <w:b/>
        </w:rPr>
        <w:t>3. Minutes of the Twenty-fourth Round of the "Bond Market Group" Meetings (May 21-22, 2026)</w:t>
      </w:r>
      <w:r>
        <w:rPr>
          <w:color w:val="666666"/>
          <w:sz w:val="16"/>
        </w:rPr>
        <w:t xml:space="preserve">  (Bank of Japan · Relevance 85 · Mixed)</w:t>
      </w:r>
      <w:r>
        <w:br/>
      </w:r>
      <w:r>
        <w:rPr>
          <w:sz w:val="18"/>
        </w:rPr>
        <w:t>Any hints about BOJ policy adjustments, such as changes to bond buying or yield targets, directly impact JGB yields and USD/JPY through interest rate differentials and policy expectations.</w:t>
      </w:r>
    </w:p>
    <w:p>
      <w:pPr>
        <w:spacing w:before="0" w:after="80" w:line="240" w:lineRule="auto"/>
      </w:pPr>
      <w:r>
        <w:rPr>
          <w:b/>
        </w:rPr>
        <w:t>4. Monetary Base (May)</w:t>
      </w:r>
      <w:r>
        <w:rPr>
          <w:color w:val="666666"/>
          <w:sz w:val="16"/>
        </w:rPr>
        <w:t xml:space="preserve">  (Bank of Japan · Relevance 85 · Unclear)</w:t>
      </w:r>
      <w:r>
        <w:br/>
      </w:r>
      <w:r>
        <w:rPr>
          <w:sz w:val="18"/>
        </w:rPr>
        <w:t>Monetary base expansion reflects BOJ policy stance, affecting interest rate differentials and yen supply-demand dynamics, thereby impacting USD/JPY.</w:t>
      </w:r>
    </w:p>
    <w:p>
      <w:pPr>
        <w:spacing w:before="0" w:after="80" w:line="240" w:lineRule="auto"/>
      </w:pPr>
      <w:r>
        <w:rPr>
          <w:b/>
        </w:rPr>
        <w:t>5. Monetary Base (May)</w:t>
      </w:r>
      <w:r>
        <w:rPr>
          <w:color w:val="666666"/>
          <w:sz w:val="16"/>
        </w:rPr>
        <w:t xml:space="preserve">  (BOJ Statistics · Relevance 75 · Mixed)</w:t>
      </w:r>
      <w:r>
        <w:br/>
      </w:r>
      <w:r>
        <w:rPr>
          <w:sz w:val="18"/>
        </w:rPr>
        <w:t>Monetary base growth reflects BOJ's liquidity injection, directly impacting yen supply and interest rates, thereby influencing USD/JPY.</w:t>
      </w:r>
    </w:p>
    <w:p>
      <w:pPr>
        <w:spacing w:before="120" w:after="40" w:line="240" w:lineRule="auto"/>
      </w:pPr>
      <w:r>
        <w:rPr>
          <w:b/>
          <w:sz w:val="22"/>
        </w:rPr>
        <w:t>Watchlist</w:t>
      </w:r>
    </w:p>
    <w:p>
      <w:pPr>
        <w:pStyle w:val="ListBullet"/>
        <w:spacing w:before="0" w:after="40" w:line="240" w:lineRule="auto"/>
      </w:pPr>
      <w:r>
        <w:rPr>
          <w:sz w:val="18"/>
        </w:rPr>
        <w:t>BOJ policy meeting outcomes and any hints of tapering or rate hikes</w:t>
      </w:r>
    </w:p>
    <w:p>
      <w:pPr>
        <w:pStyle w:val="ListBullet"/>
        <w:spacing w:before="0" w:after="40" w:line="240" w:lineRule="auto"/>
      </w:pPr>
      <w:r>
        <w:rPr>
          <w:sz w:val="18"/>
        </w:rPr>
        <w:t>US inflation data and Fed policy expectations to gauge rate differential trends</w:t>
      </w:r>
    </w:p>
    <w:p>
      <w:pPr>
        <w:pStyle w:val="ListBullet"/>
        <w:spacing w:before="0" w:after="40" w:line="240" w:lineRule="auto"/>
      </w:pPr>
      <w:r>
        <w:rPr>
          <w:sz w:val="18"/>
        </w:rPr>
        <w:t>Further intervention risk from Japan's Ministry of Finance</w:t>
      </w:r>
    </w:p>
    <w:p>
      <w:r>
        <w:br w:type="page"/>
      </w:r>
    </w:p>
    <w:p>
      <w:pPr>
        <w:spacing w:before="120" w:after="40" w:line="240" w:lineRule="auto"/>
      </w:pPr>
      <w:r>
        <w:rPr>
          <w:b/>
          <w:sz w:val="22"/>
        </w:rPr>
        <w:t>Source Citations</w:t>
      </w:r>
    </w:p>
    <w:p>
      <w:pPr>
        <w:pStyle w:val="ListBullet"/>
        <w:spacing w:before="0" w:after="60" w:line="240" w:lineRule="auto"/>
      </w:pPr>
      <w:hyperlink r:id="rId9">
        <w:r>
          <w:rPr>
            <w:color w:val="0563C1"/>
            <w:u w:val="single"/>
            <w:sz w:val="18"/>
          </w:rPr>
          <w:t xml:space="preserve">Yen touches 160 against dollar, erasing intervention gains</w:t>
        </w:r>
      </w:hyperlink>
      <w:r>
        <w:rPr>
          <w:color w:val="666666"/>
          <w:sz w:val="16"/>
        </w:rPr>
        <w:t xml:space="preserve">  — Nikkei Asia, 2026-06-03</w:t>
      </w:r>
    </w:p>
    <w:p>
      <w:pPr>
        <w:pStyle w:val="ListBullet"/>
        <w:spacing w:before="0" w:after="60" w:line="240" w:lineRule="auto"/>
      </w:pPr>
      <w:hyperlink r:id="rId10">
        <w:r>
          <w:rPr>
            <w:color w:val="0563C1"/>
            <w:u w:val="single"/>
            <w:sz w:val="18"/>
          </w:rPr>
          <w:t xml:space="preserve">Japanese Government Bonds Held by the Bank of Japan</w:t>
        </w:r>
      </w:hyperlink>
      <w:r>
        <w:rPr>
          <w:color w:val="666666"/>
          <w:sz w:val="16"/>
        </w:rPr>
        <w:t xml:space="preserve">  — BOJ Statistics, 2026-06-02</w:t>
      </w:r>
    </w:p>
    <w:p>
      <w:pPr>
        <w:pStyle w:val="ListBullet"/>
        <w:spacing w:before="0" w:after="60" w:line="240" w:lineRule="auto"/>
      </w:pPr>
      <w:hyperlink r:id="rId11">
        <w:r>
          <w:rPr>
            <w:color w:val="0563C1"/>
            <w:u w:val="single"/>
            <w:sz w:val="18"/>
          </w:rPr>
          <w:t xml:space="preserve">Minutes of the Twenty-fourth Round of the "Bond Market Group" Meetings (May 21-22, 2026)</w:t>
        </w:r>
      </w:hyperlink>
      <w:r>
        <w:rPr>
          <w:color w:val="666666"/>
          <w:sz w:val="16"/>
        </w:rPr>
        <w:t xml:space="preserve">  — Bank of Japan, 2026-06-02</w:t>
      </w:r>
    </w:p>
    <w:p>
      <w:pPr>
        <w:pStyle w:val="ListBullet"/>
        <w:spacing w:before="0" w:after="60" w:line="240" w:lineRule="auto"/>
      </w:pPr>
      <w:hyperlink r:id="rId12">
        <w:r>
          <w:rPr>
            <w:color w:val="0563C1"/>
            <w:u w:val="single"/>
            <w:sz w:val="18"/>
          </w:rPr>
          <w:t xml:space="preserve">Monetary Base (May)</w:t>
        </w:r>
      </w:hyperlink>
      <w:r>
        <w:rPr>
          <w:color w:val="666666"/>
          <w:sz w:val="16"/>
        </w:rPr>
        <w:t xml:space="preserve">  — Bank of Japan, 2026-06-01</w:t>
      </w:r>
    </w:p>
    <w:p>
      <w:pPr>
        <w:pStyle w:val="ListBullet"/>
        <w:spacing w:before="0" w:after="60" w:line="240" w:lineRule="auto"/>
      </w:pPr>
      <w:hyperlink r:id="rId12">
        <w:r>
          <w:rPr>
            <w:color w:val="0563C1"/>
            <w:u w:val="single"/>
            <w:sz w:val="18"/>
          </w:rPr>
          <w:t xml:space="preserve">Monetary Base (May)</w:t>
        </w:r>
      </w:hyperlink>
      <w:r>
        <w:rPr>
          <w:color w:val="666666"/>
          <w:sz w:val="16"/>
        </w:rPr>
        <w:t xml:space="preserve">  — BOJ Statistics, 2026-06-01</w:t>
      </w:r>
    </w:p>
    <w:p>
      <w:pPr>
        <w:pStyle w:val="ListBullet"/>
        <w:spacing w:before="0" w:after="60" w:line="240" w:lineRule="auto"/>
      </w:pPr>
      <w:hyperlink r:id="rId10">
        <w:r>
          <w:rPr>
            <w:color w:val="0563C1"/>
            <w:u w:val="single"/>
            <w:sz w:val="18"/>
          </w:rPr>
          <w:t xml:space="preserve">Japanese Government Bonds Held by the Bank of Japan</w:t>
        </w:r>
      </w:hyperlink>
      <w:r>
        <w:rPr>
          <w:color w:val="666666"/>
          <w:sz w:val="16"/>
        </w:rPr>
        <w:t xml:space="preserve">  — Bank of Japan, 2026-06-02</w:t>
      </w:r>
    </w:p>
    <w:p>
      <w:pPr>
        <w:pStyle w:val="ListBullet"/>
        <w:spacing w:before="0" w:after="60" w:line="240" w:lineRule="auto"/>
      </w:pPr>
      <w:hyperlink r:id="rId13">
        <w:r>
          <w:rPr>
            <w:color w:val="0563C1"/>
            <w:u w:val="single"/>
            <w:sz w:val="18"/>
          </w:rPr>
          <w:t xml:space="preserve">(Research Paper) Planned Revisions of the Tankan -- Introduction of a Wage Survey --</w:t>
        </w:r>
      </w:hyperlink>
      <w:r>
        <w:rPr>
          <w:color w:val="666666"/>
          <w:sz w:val="16"/>
        </w:rPr>
        <w:t xml:space="preserve">  — Bank of Japan, 2026-06-02</w:t>
      </w:r>
    </w:p>
    <w:p>
      <w:pPr>
        <w:pStyle w:val="ListBullet"/>
        <w:spacing w:before="0" w:after="60" w:line="240" w:lineRule="auto"/>
      </w:pPr>
      <w:hyperlink r:id="rId14">
        <w:r>
          <w:rPr>
            <w:color w:val="0563C1"/>
            <w:u w:val="single"/>
            <w:sz w:val="18"/>
          </w:rPr>
          <w:t xml:space="preserve">Sources of Changes in Current Account Balances and Market Operations (May)</w:t>
        </w:r>
      </w:hyperlink>
      <w:r>
        <w:rPr>
          <w:color w:val="666666"/>
          <w:sz w:val="16"/>
        </w:rPr>
        <w:t xml:space="preserve">  — Bank of Japan, 2026-06-01</w:t>
      </w:r>
    </w:p>
    <w:sectPr w:rsidR="00FC693F" w:rsidRPr="0006063C" w:rsidSect="00034616">
      <w:pgSz w:w="12240" w:h="15840"/>
      <w:pgMar w:top="920" w:right="1080" w:bottom="9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sia.nikkei.com/business/markets/currencies/yen-touches-160-against-dollar-erasing-intervention-gains" TargetMode="External"/><Relationship Id="rId10" Type="http://schemas.openxmlformats.org/officeDocument/2006/relationships/hyperlink" Target="http://www.boj.or.jp/en/statistics/boj/other/mei/release/2026/mei260529.xlsx" TargetMode="External"/><Relationship Id="rId11" Type="http://schemas.openxmlformats.org/officeDocument/2006/relationships/hyperlink" Target="http://www.boj.or.jp/en/paym/bond/mbond_list/mbond260602.pdf" TargetMode="External"/><Relationship Id="rId12" Type="http://schemas.openxmlformats.org/officeDocument/2006/relationships/hyperlink" Target="http://www.boj.or.jp/en/statistics/boj/other/mb/mb.htm" TargetMode="External"/><Relationship Id="rId13" Type="http://schemas.openxmlformats.org/officeDocument/2006/relationships/hyperlink" Target="http://www.boj.or.jp/en/research/brp/ron_2026/ron260602a.htm" TargetMode="External"/><Relationship Id="rId14" Type="http://schemas.openxmlformats.org/officeDocument/2006/relationships/hyperlink" Target="http://www.boj.or.jp/en/statistics/boj/fm/juqf/juqf05.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