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40" w:lineRule="auto"/>
      </w:pPr>
      <w:r>
        <w:rPr>
          <w:b/>
          <w:sz w:val="32"/>
        </w:rPr>
        <w:t>USD/JPY Executive Summary</w:t>
      </w:r>
    </w:p>
    <w:p>
      <w:pPr>
        <w:spacing w:before="0" w:after="40" w:line="240" w:lineRule="auto"/>
      </w:pPr>
      <w:r>
        <w:rPr>
          <w:color w:val="666666"/>
          <w:sz w:val="16"/>
        </w:rPr>
        <w:t>Generated 2026-06-03 14:17 HK time  |  Sources: Bank of Japan, Nikkei Asia, NHK WORLD-JAPAN</w:t>
      </w:r>
    </w:p>
    <w:p>
      <w:pPr>
        <w:spacing w:before="120" w:after="40" w:line="240" w:lineRule="auto"/>
      </w:pPr>
      <w:r>
        <w:rPr>
          <w:b/>
          <w:sz w:val="22"/>
        </w:rPr>
        <w:t>Market Read</w:t>
      </w:r>
    </w:p>
    <w:p>
      <w:pPr>
        <w:spacing w:before="0" w:after="120" w:line="240" w:lineRule="auto"/>
      </w:pPr>
      <w:r>
        <w:t>Automated LLM synthesis unavailable. See ranked stories below, scored for USD/JPY relevance per article.</w:t>
      </w:r>
    </w:p>
    <w:p>
      <w:pPr>
        <w:spacing w:before="120" w:after="40" w:line="240" w:lineRule="auto"/>
      </w:pPr>
      <w:r>
        <w:rPr>
          <w:b/>
          <w:sz w:val="22"/>
        </w:rPr>
        <w:t>Top Stories</w:t>
      </w:r>
    </w:p>
    <w:p>
      <w:pPr>
        <w:spacing w:before="0" w:after="80" w:line="240" w:lineRule="auto"/>
      </w:pPr>
      <w:r>
        <w:rPr>
          <w:b/>
        </w:rPr>
        <w:t>1. Yen touches 160 against dollar, erasing intervention gains</w:t>
      </w:r>
      <w:r>
        <w:rPr>
          <w:color w:val="666666"/>
          <w:sz w:val="16"/>
        </w:rPr>
        <w:t xml:space="preserve">  (Nikkei Asia · USD/JPY up (yen weaker) · Relevance High)</w:t>
      </w:r>
      <w:r>
        <w:br/>
      </w:r>
      <w:r>
        <w:rPr>
          <w:sz w:val="18"/>
        </w:rPr>
        <w:t>The move above 160 indicates that intervention effects have faded, increasing the likelihood of official action, which could cause sharp, sudden downside in USD/JPY.</w:t>
      </w:r>
      <w:r>
        <w:br/>
      </w:r>
      <w:r>
        <w:rPr>
          <w:color w:val="666666"/>
          <w:sz w:val="16"/>
        </w:rPr>
        <w:t xml:space="preserve">Date: 2026-06-03  |  </w:t>
      </w:r>
      <w:hyperlink r:id="rId9">
        <w:r>
          <w:rPr>
            <w:color w:val="0563C1"/>
            <w:u w:val="single"/>
            <w:sz w:val="16"/>
          </w:rPr>
          <w:t xml:space="preserve">Read more</w:t>
        </w:r>
      </w:hyperlink>
    </w:p>
    <w:p>
      <w:pPr>
        <w:spacing w:before="0" w:after="80" w:line="240" w:lineRule="auto"/>
      </w:pPr>
      <w:r>
        <w:rPr>
          <w:b/>
        </w:rPr>
        <w:t>2. Japanese Government Bonds Held by the Bank of Japan</w:t>
      </w:r>
      <w:r>
        <w:rPr>
          <w:color w:val="666666"/>
          <w:sz w:val="16"/>
        </w:rPr>
        <w:t xml:space="preserve">  (BOJ Statistics · Unclear · Relevance Low)</w:t>
      </w:r>
      <w:r>
        <w:br/>
      </w:r>
      <w:r>
        <w:rPr>
          <w:sz w:val="18"/>
        </w:rPr>
        <w:t>The BOJ's JGB holdings are a direct measure of its money-printing operations; a faster-than-expected reduction could signal tightening, narrowing the US-Japan rate gap and potentially strengthening the yen against the dollar.</w:t>
      </w:r>
      <w:r>
        <w:br/>
      </w:r>
      <w:r>
        <w:rPr>
          <w:color w:val="666666"/>
          <w:sz w:val="16"/>
        </w:rPr>
        <w:t xml:space="preserve">Date: 2026-06-02  |  </w:t>
      </w:r>
      <w:hyperlink r:id="rId10">
        <w:r>
          <w:rPr>
            <w:color w:val="0563C1"/>
            <w:u w:val="single"/>
            <w:sz w:val="16"/>
          </w:rPr>
          <w:t xml:space="preserve">Read more</w:t>
        </w:r>
      </w:hyperlink>
    </w:p>
    <w:p>
      <w:pPr>
        <w:spacing w:before="0" w:after="80" w:line="240" w:lineRule="auto"/>
      </w:pPr>
      <w:r>
        <w:rPr>
          <w:b/>
        </w:rPr>
        <w:t>3. Retail forex investors flock to Aussie over US dollar trades against yen</w:t>
      </w:r>
      <w:r>
        <w:rPr>
          <w:color w:val="666666"/>
          <w:sz w:val="16"/>
        </w:rPr>
        <w:t xml:space="preserve">  (Nikkei Asia · USD/JPY down (yen stronger) · Relevance Low)</w:t>
      </w:r>
      <w:r>
        <w:br/>
      </w:r>
      <w:r>
        <w:rPr>
          <w:sz w:val="18"/>
        </w:rPr>
        <w:t>Reduced retail demand for USD/JPY long positions can ease upward pressure on the pair, potentially allowing the yen to strengthen against the dollar. Conversely, broader yen weakness may persist if flows simply rotate to other high-yielding currencies.</w:t>
      </w:r>
      <w:r>
        <w:br/>
      </w:r>
      <w:r>
        <w:rPr>
          <w:color w:val="666666"/>
          <w:sz w:val="16"/>
        </w:rPr>
        <w:t xml:space="preserve">Date: 2026-06-03  |  </w:t>
      </w:r>
      <w:hyperlink r:id="rId11">
        <w:r>
          <w:rPr>
            <w:color w:val="0563C1"/>
            <w:u w:val="single"/>
            <w:sz w:val="16"/>
          </w:rPr>
          <w:t xml:space="preserve">Read more</w:t>
        </w:r>
      </w:hyperlink>
    </w:p>
    <w:p>
      <w:pPr>
        <w:spacing w:before="120" w:after="40" w:line="240" w:lineRule="auto"/>
      </w:pPr>
      <w:r>
        <w:rPr>
          <w:b/>
          <w:sz w:val="22"/>
        </w:rPr>
        <w:t>Watchlist</w:t>
      </w:r>
    </w:p>
    <w:p>
      <w:pPr>
        <w:pStyle w:val="ListBullet"/>
        <w:spacing w:before="0" w:after="40" w:line="240" w:lineRule="auto"/>
      </w:pPr>
      <w:r>
        <w:rPr>
          <w:sz w:val="18"/>
        </w:rPr>
        <w:t>BOJ release calendar / next MPM</w:t>
      </w:r>
    </w:p>
    <w:p>
      <w:pPr>
        <w:pStyle w:val="ListBullet"/>
        <w:spacing w:before="0" w:after="40" w:line="240" w:lineRule="auto"/>
      </w:pPr>
      <w:r>
        <w:rPr>
          <w:sz w:val="18"/>
        </w:rPr>
        <w:t>US CPI and Fed speakers</w:t>
      </w:r>
    </w:p>
    <w:p>
      <w:pPr>
        <w:pStyle w:val="ListBullet"/>
        <w:spacing w:before="0" w:after="40" w:line="240" w:lineRule="auto"/>
      </w:pPr>
      <w:r>
        <w:rPr>
          <w:sz w:val="18"/>
        </w:rPr>
        <w:t>USD/JPY intervention rhetoric near key levels</w:t>
      </w:r>
    </w:p>
    <w:p>
      <w:r>
        <w:br w:type="page"/>
      </w:r>
    </w:p>
    <w:p>
      <w:pPr>
        <w:spacing w:before="120" w:after="40" w:line="240" w:lineRule="auto"/>
      </w:pPr>
      <w:r>
        <w:rPr>
          <w:b/>
          <w:sz w:val="22"/>
        </w:rPr>
        <w:t>Source Citations</w:t>
      </w:r>
    </w:p>
    <w:p>
      <w:pPr>
        <w:pStyle w:val="ListBullet"/>
        <w:spacing w:before="0" w:after="60" w:line="240" w:lineRule="auto"/>
      </w:pPr>
      <w:hyperlink r:id="rId9">
        <w:r>
          <w:rPr>
            <w:color w:val="0563C1"/>
            <w:u w:val="single"/>
            <w:sz w:val="18"/>
          </w:rPr>
          <w:t xml:space="preserve">Yen touches 160 against dollar, erasing intervention gains</w:t>
        </w:r>
      </w:hyperlink>
      <w:r>
        <w:rPr>
          <w:color w:val="666666"/>
          <w:sz w:val="16"/>
        </w:rPr>
        <w:t xml:space="preserve">  — Nikkei Asia, 2026-06-03</w:t>
      </w:r>
    </w:p>
    <w:p>
      <w:pPr>
        <w:pStyle w:val="ListBullet"/>
        <w:spacing w:before="0" w:after="60" w:line="240" w:lineRule="auto"/>
      </w:pPr>
      <w:hyperlink r:id="rId10">
        <w:r>
          <w:rPr>
            <w:color w:val="0563C1"/>
            <w:u w:val="single"/>
            <w:sz w:val="18"/>
          </w:rPr>
          <w:t xml:space="preserve">Japanese Government Bonds Held by the Bank of Japan</w:t>
        </w:r>
      </w:hyperlink>
      <w:r>
        <w:rPr>
          <w:color w:val="666666"/>
          <w:sz w:val="16"/>
        </w:rPr>
        <w:t xml:space="preserve">  — BOJ Statistics, 2026-06-02</w:t>
      </w:r>
    </w:p>
    <w:p>
      <w:pPr>
        <w:pStyle w:val="ListBullet"/>
        <w:spacing w:before="0" w:after="60" w:line="240" w:lineRule="auto"/>
      </w:pPr>
      <w:hyperlink r:id="rId11">
        <w:r>
          <w:rPr>
            <w:color w:val="0563C1"/>
            <w:u w:val="single"/>
            <w:sz w:val="18"/>
          </w:rPr>
          <w:t xml:space="preserve">Retail forex investors flock to Aussie over US dollar trades against yen</w:t>
        </w:r>
      </w:hyperlink>
      <w:r>
        <w:rPr>
          <w:color w:val="666666"/>
          <w:sz w:val="16"/>
        </w:rPr>
        <w:t xml:space="preserve">  — Nikkei Asia, 2026-06-03</w:t>
      </w:r>
    </w:p>
    <w:sectPr w:rsidR="00FC693F" w:rsidRPr="0006063C" w:rsidSect="00034616">
      <w:pgSz w:w="12240" w:h="15840"/>
      <w:pgMar w:top="920" w:right="1080" w:bottom="9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sia.nikkei.com/business/markets/currencies/yen-touches-160-against-dollar-erasing-intervention-gains" TargetMode="External"/><Relationship Id="rId10" Type="http://schemas.openxmlformats.org/officeDocument/2006/relationships/hyperlink" Target="http://www.boj.or.jp/en/statistics/boj/other/mei/release/2026/mei260529.xlsx" TargetMode="External"/><Relationship Id="rId11" Type="http://schemas.openxmlformats.org/officeDocument/2006/relationships/hyperlink" Target="https://asia.nikkei.com/business/markets/currencies/retail-forex-investors-flock-to-aussie-over-us-dollar-trades-against-y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