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sz w:val="32"/>
        </w:rPr>
        <w:t>USD/JPY Executive Summary</w:t>
      </w:r>
    </w:p>
    <w:p>
      <w:pPr>
        <w:spacing w:before="0" w:after="40" w:line="240" w:lineRule="auto"/>
      </w:pPr>
      <w:r>
        <w:rPr>
          <w:color w:val="666666"/>
          <w:sz w:val="16"/>
        </w:rPr>
        <w:t>Generated 2026-06-03 14:32 HK time  |  Sources: Bank of Japan, Nikkei Asia, NHK WORLD-JAPAN</w:t>
      </w:r>
    </w:p>
    <w:p>
      <w:pPr>
        <w:spacing w:before="120" w:after="40" w:line="240" w:lineRule="auto"/>
      </w:pPr>
      <w:r>
        <w:rPr>
          <w:b/>
          <w:sz w:val="22"/>
        </w:rPr>
        <w:t>Market Read</w:t>
      </w:r>
    </w:p>
    <w:p>
      <w:pPr>
        <w:spacing w:before="0" w:after="120" w:line="240" w:lineRule="auto"/>
      </w:pPr>
      <w:r>
        <w:t>USD/JPY has breached the 160 level, erasing the gains from Japan's late-April intervention and signaling a renewed vulnerability to depreciation. This technical breach raises the risk of further upward momentum, while also heightening the likelihood of fresh official action that could trigger sharp, sudden downside. Offsetting catalysts include emerging risk-off triggers—such as proposed US tariffs on 60 economies and escalating Taiwan Strait tensions—which typically fuel safe-haven demand for the yen. Additionally, a reported shift among Japanese retail traders from USD/JPY to AUD/JPY suggests waning domestic support for dollar longs. However, the immediate path remains dictated by the authorities’ tolerance for yen weakness and evolving trade policy headlines.</w:t>
      </w:r>
    </w:p>
    <w:p>
      <w:pPr>
        <w:spacing w:before="120" w:after="40" w:line="240" w:lineRule="auto"/>
      </w:pPr>
      <w:r>
        <w:rPr>
          <w:b/>
          <w:sz w:val="22"/>
        </w:rPr>
        <w:t>Top Stories</w:t>
      </w:r>
    </w:p>
    <w:p>
      <w:pPr>
        <w:spacing w:before="0" w:after="80" w:line="240" w:lineRule="auto"/>
      </w:pPr>
      <w:r>
        <w:rPr>
          <w:b/>
        </w:rPr>
        <w:t>1. Yen touches 160 against dollar, erasing intervention gains</w:t>
      </w:r>
      <w:r>
        <w:rPr>
          <w:color w:val="666666"/>
          <w:sz w:val="16"/>
        </w:rPr>
        <w:t xml:space="preserve">  (Nikkei Asia · USD/JPY up (yen weaker) · Relevance High)</w:t>
      </w:r>
      <w:r>
        <w:br/>
      </w:r>
      <w:r>
        <w:rPr>
          <w:sz w:val="18"/>
        </w:rPr>
        <w:t>The move above 160 indicates that intervention effects have faded, increasing the likelihood of official action, which could cause sharp, sudden downside in USD/JPY.</w:t>
      </w:r>
      <w:r>
        <w:br/>
      </w:r>
      <w:r>
        <w:rPr>
          <w:color w:val="666666"/>
          <w:sz w:val="16"/>
        </w:rPr>
        <w:t xml:space="preserve">Date: 2026-06-03  |  </w:t>
      </w:r>
      <w:hyperlink r:id="rId9">
        <w:r>
          <w:rPr>
            <w:color w:val="0563C1"/>
            <w:u w:val="single"/>
            <w:sz w:val="16"/>
          </w:rPr>
          <w:t xml:space="preserve">Read more</w:t>
        </w:r>
      </w:hyperlink>
    </w:p>
    <w:p>
      <w:pPr>
        <w:spacing w:before="0" w:after="80" w:line="240" w:lineRule="auto"/>
      </w:pPr>
      <w:r>
        <w:rPr>
          <w:b/>
        </w:rPr>
        <w:t>2. Japanese Government Bonds Held by the Bank of Japan</w:t>
      </w:r>
      <w:r>
        <w:rPr>
          <w:color w:val="666666"/>
          <w:sz w:val="16"/>
        </w:rPr>
        <w:t xml:space="preserve">  (BOJ Statistics · Unclear · Relevance Low)</w:t>
      </w:r>
      <w:r>
        <w:br/>
      </w:r>
      <w:r>
        <w:rPr>
          <w:sz w:val="18"/>
        </w:rPr>
        <w:t>The BOJ's JGB holdings are a direct measure of its money-printing operations; a faster-than-expected reduction could signal tightening, narrowing the US-Japan rate gap and potentially strengthening the yen against the dollar.</w:t>
      </w:r>
      <w:r>
        <w:br/>
      </w:r>
      <w:r>
        <w:rPr>
          <w:color w:val="666666"/>
          <w:sz w:val="16"/>
        </w:rPr>
        <w:t xml:space="preserve">Date: 2026-06-02  |  </w:t>
      </w:r>
      <w:hyperlink r:id="rId10">
        <w:r>
          <w:rPr>
            <w:color w:val="0563C1"/>
            <w:u w:val="single"/>
            <w:sz w:val="16"/>
          </w:rPr>
          <w:t xml:space="preserve">Read more</w:t>
        </w:r>
      </w:hyperlink>
    </w:p>
    <w:p>
      <w:pPr>
        <w:spacing w:before="0" w:after="80" w:line="240" w:lineRule="auto"/>
      </w:pPr>
      <w:r>
        <w:rPr>
          <w:b/>
        </w:rPr>
        <w:t>3. US floats new tariffs on 60 economies over forced labor, including China</w:t>
      </w:r>
      <w:r>
        <w:rPr>
          <w:color w:val="666666"/>
          <w:sz w:val="16"/>
        </w:rPr>
        <w:t xml:space="preserve">  (Nikkei Asia · USD/JPY down (yen stronger) · Relevance Low)</w:t>
      </w:r>
      <w:r>
        <w:br/>
      </w:r>
      <w:r>
        <w:rPr>
          <w:sz w:val="18"/>
        </w:rPr>
        <w:t>Trade war fears typically trigger yen buying on risk aversion, and direct tariff impacts on Japan or its trade partners could further pressure USD/JPY downward.</w:t>
      </w:r>
      <w:r>
        <w:br/>
      </w:r>
      <w:r>
        <w:rPr>
          <w:color w:val="666666"/>
          <w:sz w:val="16"/>
        </w:rPr>
        <w:t xml:space="preserve">Date: 2026-06-03  |  </w:t>
      </w:r>
      <w:hyperlink r:id="rId11">
        <w:r>
          <w:rPr>
            <w:color w:val="0563C1"/>
            <w:u w:val="single"/>
            <w:sz w:val="16"/>
          </w:rPr>
          <w:t xml:space="preserve">Read more</w:t>
        </w:r>
      </w:hyperlink>
    </w:p>
    <w:p>
      <w:pPr>
        <w:spacing w:before="0" w:after="80" w:line="240" w:lineRule="auto"/>
      </w:pPr>
      <w:r>
        <w:rPr>
          <w:b/>
        </w:rPr>
        <w:t>4. Trump is turning Taiwan into a bargaining chip</w:t>
      </w:r>
      <w:r>
        <w:rPr>
          <w:color w:val="666666"/>
          <w:sz w:val="16"/>
        </w:rPr>
        <w:t xml:space="preserve">  (Nikkei Asia · USD/JPY down (yen stronger) · Relevance Low)</w:t>
      </w:r>
      <w:r>
        <w:br/>
      </w:r>
      <w:r>
        <w:rPr>
          <w:sz w:val="18"/>
        </w:rPr>
        <w:t>Heightened US-China tensions over Taiwan can drive risk-off sentiment, leading to yen buying and a decline in USD/JPY.</w:t>
      </w:r>
      <w:r>
        <w:br/>
      </w:r>
      <w:r>
        <w:rPr>
          <w:color w:val="666666"/>
          <w:sz w:val="16"/>
        </w:rPr>
        <w:t xml:space="preserve">Date: ~2026-06-03 (first seen)  |  </w:t>
      </w:r>
      <w:hyperlink r:id="rId12">
        <w:r>
          <w:rPr>
            <w:color w:val="0563C1"/>
            <w:u w:val="single"/>
            <w:sz w:val="16"/>
          </w:rPr>
          <w:t xml:space="preserve">Read more</w:t>
        </w:r>
      </w:hyperlink>
    </w:p>
    <w:p>
      <w:pPr>
        <w:spacing w:before="0" w:after="80" w:line="240" w:lineRule="auto"/>
      </w:pPr>
      <w:r>
        <w:rPr>
          <w:b/>
        </w:rPr>
        <w:t>5. Retail forex investors flock to Aussie over US dollar trades against yen</w:t>
      </w:r>
      <w:r>
        <w:rPr>
          <w:color w:val="666666"/>
          <w:sz w:val="16"/>
        </w:rPr>
        <w:t xml:space="preserve">  (Nikkei Asia · USD/JPY down (yen stronger) · Relevance Low)</w:t>
      </w:r>
      <w:r>
        <w:br/>
      </w:r>
      <w:r>
        <w:rPr>
          <w:sz w:val="18"/>
        </w:rPr>
        <w:t>Reduced retail demand for USD/JPY long positions can ease upward pressure on the pair, potentially allowing the yen to strengthen against the dollar. Conversely, broader yen weakness may persist if flows simply rotate to other high-yielding currencies.</w:t>
      </w:r>
      <w:r>
        <w:br/>
      </w:r>
      <w:r>
        <w:rPr>
          <w:color w:val="666666"/>
          <w:sz w:val="16"/>
        </w:rPr>
        <w:t xml:space="preserve">Date: 2026-06-03  |  </w:t>
      </w:r>
      <w:hyperlink r:id="rId13">
        <w:r>
          <w:rPr>
            <w:color w:val="0563C1"/>
            <w:u w:val="single"/>
            <w:sz w:val="16"/>
          </w:rPr>
          <w:t xml:space="preserve">Read more</w:t>
        </w:r>
      </w:hyperlink>
    </w:p>
    <w:p>
      <w:pPr>
        <w:spacing w:before="120" w:after="40" w:line="240" w:lineRule="auto"/>
      </w:pPr>
      <w:r>
        <w:rPr>
          <w:b/>
          <w:sz w:val="22"/>
        </w:rPr>
        <w:t>Watchlist</w:t>
      </w:r>
    </w:p>
    <w:p>
      <w:pPr>
        <w:pStyle w:val="ListBullet"/>
        <w:spacing w:before="0" w:after="40" w:line="240" w:lineRule="auto"/>
      </w:pPr>
      <w:r>
        <w:rPr>
          <w:sz w:val="18"/>
        </w:rPr>
        <w:t>Japanese MOF/BOJ intervention rhetoric or action following the 160 breach</w:t>
      </w:r>
    </w:p>
    <w:p>
      <w:pPr>
        <w:pStyle w:val="ListBullet"/>
        <w:spacing w:before="0" w:after="40" w:line="240" w:lineRule="auto"/>
      </w:pPr>
      <w:r>
        <w:rPr>
          <w:sz w:val="18"/>
        </w:rPr>
        <w:t>US tariff proposals on forced labor and retaliation risks from affected economies</w:t>
      </w:r>
    </w:p>
    <w:p>
      <w:pPr>
        <w:pStyle w:val="ListBullet"/>
        <w:spacing w:before="0" w:after="40" w:line="240" w:lineRule="auto"/>
      </w:pPr>
      <w:r>
        <w:rPr>
          <w:sz w:val="18"/>
        </w:rPr>
        <w:t>BOJ JGB holdings data and any deviation signaling a shift in quantitative easing pace</w:t>
      </w:r>
    </w:p>
    <w:p>
      <w:pPr>
        <w:pStyle w:val="ListBullet"/>
        <w:spacing w:before="0" w:after="40" w:line="240" w:lineRule="auto"/>
      </w:pPr>
      <w:r>
        <w:rPr>
          <w:sz w:val="18"/>
        </w:rPr>
        <w:t>Geopolitical developments around Taiwan that could escalate risk aversion</w:t>
      </w:r>
    </w:p>
    <w:p>
      <w:r>
        <w:br w:type="page"/>
      </w:r>
    </w:p>
    <w:p>
      <w:pPr>
        <w:spacing w:before="120" w:after="40" w:line="240" w:lineRule="auto"/>
      </w:pPr>
      <w:r>
        <w:rPr>
          <w:b/>
          <w:sz w:val="22"/>
        </w:rPr>
        <w:t>Source Citations</w:t>
      </w:r>
    </w:p>
    <w:p>
      <w:pPr>
        <w:pStyle w:val="ListBullet"/>
        <w:spacing w:before="0" w:after="60" w:line="240" w:lineRule="auto"/>
      </w:pPr>
      <w:hyperlink r:id="rId9">
        <w:r>
          <w:rPr>
            <w:color w:val="0563C1"/>
            <w:u w:val="single"/>
            <w:sz w:val="18"/>
          </w:rPr>
          <w:t xml:space="preserve">Yen touches 160 against dollar, erasing intervention gains</w:t>
        </w:r>
      </w:hyperlink>
      <w:r>
        <w:rPr>
          <w:color w:val="666666"/>
          <w:sz w:val="16"/>
        </w:rPr>
        <w:t xml:space="preserve">  — Nikkei Asia, 2026-06-03</w:t>
      </w:r>
    </w:p>
    <w:p>
      <w:pPr>
        <w:pStyle w:val="ListBullet"/>
        <w:spacing w:before="0" w:after="60" w:line="240" w:lineRule="auto"/>
      </w:pPr>
      <w:hyperlink r:id="rId10">
        <w:r>
          <w:rPr>
            <w:color w:val="0563C1"/>
            <w:u w:val="single"/>
            <w:sz w:val="18"/>
          </w:rPr>
          <w:t xml:space="preserve">Japanese Government Bonds Held by the Bank of Japan</w:t>
        </w:r>
      </w:hyperlink>
      <w:r>
        <w:rPr>
          <w:color w:val="666666"/>
          <w:sz w:val="16"/>
        </w:rPr>
        <w:t xml:space="preserve">  — BOJ Statistics, 2026-06-02</w:t>
      </w:r>
    </w:p>
    <w:p>
      <w:pPr>
        <w:pStyle w:val="ListBullet"/>
        <w:spacing w:before="0" w:after="60" w:line="240" w:lineRule="auto"/>
      </w:pPr>
      <w:hyperlink r:id="rId11">
        <w:r>
          <w:rPr>
            <w:color w:val="0563C1"/>
            <w:u w:val="single"/>
            <w:sz w:val="18"/>
          </w:rPr>
          <w:t xml:space="preserve">US floats new tariffs on 60 economies over forced labor, including China</w:t>
        </w:r>
      </w:hyperlink>
      <w:r>
        <w:rPr>
          <w:color w:val="666666"/>
          <w:sz w:val="16"/>
        </w:rPr>
        <w:t xml:space="preserve">  — Nikkei Asia, 2026-06-03</w:t>
      </w:r>
    </w:p>
    <w:p>
      <w:pPr>
        <w:pStyle w:val="ListBullet"/>
        <w:spacing w:before="0" w:after="60" w:line="240" w:lineRule="auto"/>
      </w:pPr>
      <w:hyperlink r:id="rId12">
        <w:r>
          <w:rPr>
            <w:color w:val="0563C1"/>
            <w:u w:val="single"/>
            <w:sz w:val="18"/>
          </w:rPr>
          <w:t xml:space="preserve">Trump is turning Taiwan into a bargaining chip</w:t>
        </w:r>
      </w:hyperlink>
      <w:r>
        <w:rPr>
          <w:color w:val="666666"/>
          <w:sz w:val="16"/>
        </w:rPr>
        <w:t xml:space="preserve">  — Nikkei Asia, ~2026-06-03 (first seen)</w:t>
      </w:r>
    </w:p>
    <w:p>
      <w:pPr>
        <w:pStyle w:val="ListBullet"/>
        <w:spacing w:before="0" w:after="60" w:line="240" w:lineRule="auto"/>
      </w:pPr>
      <w:hyperlink r:id="rId13">
        <w:r>
          <w:rPr>
            <w:color w:val="0563C1"/>
            <w:u w:val="single"/>
            <w:sz w:val="18"/>
          </w:rPr>
          <w:t xml:space="preserve">Retail forex investors flock to Aussie over US dollar trades against yen</w:t>
        </w:r>
      </w:hyperlink>
      <w:r>
        <w:rPr>
          <w:color w:val="666666"/>
          <w:sz w:val="16"/>
        </w:rPr>
        <w:t xml:space="preserve">  — Nikkei Asia, 2026-06-03</w:t>
      </w:r>
    </w:p>
    <w:sectPr w:rsidR="00FC693F" w:rsidRPr="0006063C" w:rsidSect="00034616">
      <w:pgSz w:w="12240" w:h="15840"/>
      <w:pgMar w:top="920" w:right="1080" w:bottom="9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business/markets/currencies/yen-touches-160-against-dollar-erasing-intervention-gains" TargetMode="External"/><Relationship Id="rId10" Type="http://schemas.openxmlformats.org/officeDocument/2006/relationships/hyperlink" Target="http://www.boj.or.jp/en/statistics/boj/other/mei/release/2026/mei260529.xlsx" TargetMode="External"/><Relationship Id="rId11" Type="http://schemas.openxmlformats.org/officeDocument/2006/relationships/hyperlink" Target="https://asia.nikkei.com/economy/trade-war/trump-tariffs/us-floats-new-tariffs-on-60-economies-over-forced-labor-including-china" TargetMode="External"/><Relationship Id="rId12" Type="http://schemas.openxmlformats.org/officeDocument/2006/relationships/hyperlink" Target="https://asia.nikkei.com/opinion/trump-is-turning-taiwan-into-a-bargaining-chip" TargetMode="External"/><Relationship Id="rId13" Type="http://schemas.openxmlformats.org/officeDocument/2006/relationships/hyperlink" Target="https://asia.nikkei.com/business/markets/currencies/retail-forex-investors-flock-to-aussie-over-us-dollar-trades-against-y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