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台北市噶陀十方善聯佛學會 114 年度共修、法會活動行程表</w:t>
      </w:r>
    </w:p>
    <w:p>
      <w:pPr>
        <w:jc w:val="center"/>
      </w:pPr>
      <w:r>
        <w:t>114 年度固定共修 / 年度法會行事曆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>
        <w:tc>
          <w:tcPr>
            <w:tcW w:type="dxa" w:w="1417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項目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一月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二月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三月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四月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五月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六月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七月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八月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九月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十月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十一月</w:t>
            </w:r>
          </w:p>
        </w:tc>
        <w:tc>
          <w:tcPr>
            <w:tcW w:type="dxa" w:w="1134"/>
            <w:vAlign w:val="center"/>
            <w:shd w:fill="D3D3D3"/>
          </w:tcPr>
          <w:p>
            <w:pPr>
              <w:jc w:val="center"/>
            </w:pPr>
            <w:r>
              <w:rPr>
                <w:b/>
                <w:sz w:val="22"/>
              </w:rPr>
              <w:t>十二月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大圓滿前行共修 上師文集導讀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3日(五)</w:t>
              <w:br/>
              <w:t>24日(五)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7日(五)</w:t>
              <w:br/>
              <w:t>28日(五)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7日(五)</w:t>
              <w:br/>
              <w:t>28日(五)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4日(五)</w:t>
              <w:br/>
              <w:t>25日(五)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2日(五)</w:t>
              <w:br/>
              <w:t>23日(五)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6日(五)</w:t>
              <w:br/>
              <w:t>27日(五)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4日(五)</w:t>
              <w:br/>
              <w:t>25日(五)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1日(五)</w:t>
              <w:br/>
              <w:t>22日(五)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5日(五)</w:t>
              <w:br/>
              <w:t>26日(五)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3日(五)</w:t>
              <w:br/>
              <w:t>24日(五)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7日(五)</w:t>
              <w:br/>
              <w:t>28日(五)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5日(五)</w:t>
              <w:br/>
              <w:t>26日(五)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綠度母共修 上師文集導讀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10日(五)</w:t>
              <w:br/>
              <w:t>31日(五)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9日(五)</w:t>
              <w:br/>
              <w:t>30日(五)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13日(五)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8日(五)</w:t>
              <w:br/>
              <w:t>29日(五)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12日(五)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10日(五)</w:t>
              <w:br/>
              <w:t>31日(五)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12日(五)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破瓦法共修 上師文集導讀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17日(五)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18日(五)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16日(五)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18日(五)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15日(五)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17日(五)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19日(五)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蓮師薈供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9日(四)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9日(日)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7日(一)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7日(三)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5日(四)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3日(日)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1日(一)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1日(三) 30日(四)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29日(六)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29日(一)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空行母薈供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22日(六)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24日(一)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22日(二)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22日(四)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19日(六)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18日(一)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16日(二)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16日(四)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14日(五)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14日(日)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年度法會</w:t>
            </w:r>
          </w:p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</w:tr>
    </w:tbl>
    <w:p>
      <w:pPr>
        <w:jc w:val="center"/>
      </w:pPr>
      <w:r>
        <w:t>歡迎大家踴躍參加，學習資糧，同霑法益。</w:t>
      </w:r>
    </w:p>
    <w:p>
      <w:pPr>
        <w:jc w:val="center"/>
      </w:pPr>
      <w:r>
        <w:t>備註：年度共修及法會暫定，若遇不可抗力因素變更，請以台北中心公告為主。</w:t>
      </w:r>
    </w:p>
    <w:sectPr w:rsidR="00FC693F" w:rsidRPr="0006063C" w:rsidSect="00034616">
      <w:pgSz w:w="15840" w:h="122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