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12935E6A" w14:textId="31015AC3" w:rsidR="00C64F6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621797" w:history="1">
        <w:r w:rsidR="00C64F60" w:rsidRPr="00C97FE7">
          <w:rPr>
            <w:rStyle w:val="Hyperlink"/>
            <w:noProof/>
          </w:rPr>
          <w:t>1.</w:t>
        </w:r>
        <w:r w:rsidR="00C64F60">
          <w:rPr>
            <w:rFonts w:asciiTheme="minorHAnsi" w:eastAsiaTheme="minorEastAsia" w:hAnsiTheme="minorHAnsi"/>
            <w:b w:val="0"/>
            <w:noProof/>
            <w:sz w:val="22"/>
          </w:rPr>
          <w:tab/>
        </w:r>
        <w:r w:rsidR="00C64F60" w:rsidRPr="00C97FE7">
          <w:rPr>
            <w:rStyle w:val="Hyperlink"/>
            <w:noProof/>
          </w:rPr>
          <w:t>Overview</w:t>
        </w:r>
        <w:r w:rsidR="00C64F60">
          <w:rPr>
            <w:noProof/>
            <w:webHidden/>
          </w:rPr>
          <w:tab/>
        </w:r>
        <w:r w:rsidR="00C64F60">
          <w:rPr>
            <w:noProof/>
            <w:webHidden/>
          </w:rPr>
          <w:fldChar w:fldCharType="begin"/>
        </w:r>
        <w:r w:rsidR="00C64F60">
          <w:rPr>
            <w:noProof/>
            <w:webHidden/>
          </w:rPr>
          <w:instrText xml:space="preserve"> PAGEREF _Toc80621797 \h </w:instrText>
        </w:r>
        <w:r w:rsidR="00C64F60">
          <w:rPr>
            <w:noProof/>
            <w:webHidden/>
          </w:rPr>
        </w:r>
        <w:r w:rsidR="00C64F60">
          <w:rPr>
            <w:noProof/>
            <w:webHidden/>
          </w:rPr>
          <w:fldChar w:fldCharType="separate"/>
        </w:r>
        <w:r w:rsidR="00C64F60">
          <w:rPr>
            <w:noProof/>
            <w:webHidden/>
          </w:rPr>
          <w:t>4</w:t>
        </w:r>
        <w:r w:rsidR="00C64F60">
          <w:rPr>
            <w:noProof/>
            <w:webHidden/>
          </w:rPr>
          <w:fldChar w:fldCharType="end"/>
        </w:r>
      </w:hyperlink>
    </w:p>
    <w:p w14:paraId="3A99B949" w14:textId="4F2ACA27" w:rsidR="00C64F60" w:rsidRDefault="00294807">
      <w:pPr>
        <w:pStyle w:val="TOC2"/>
        <w:rPr>
          <w:rFonts w:asciiTheme="minorHAnsi" w:eastAsiaTheme="minorEastAsia" w:hAnsiTheme="minorHAnsi"/>
        </w:rPr>
      </w:pPr>
      <w:hyperlink w:anchor="_Toc80621798" w:history="1">
        <w:r w:rsidR="00C64F60" w:rsidRPr="00C97FE7">
          <w:rPr>
            <w:rStyle w:val="Hyperlink"/>
          </w:rPr>
          <w:t>1.1</w:t>
        </w:r>
        <w:r w:rsidR="00C64F60">
          <w:rPr>
            <w:rFonts w:asciiTheme="minorHAnsi" w:eastAsiaTheme="minorEastAsia" w:hAnsiTheme="minorHAnsi"/>
          </w:rPr>
          <w:tab/>
        </w:r>
        <w:r w:rsidR="00C64F60" w:rsidRPr="00C97FE7">
          <w:rPr>
            <w:rStyle w:val="Hyperlink"/>
          </w:rPr>
          <w:t>Required Version of Sage 300</w:t>
        </w:r>
        <w:r w:rsidR="00C64F60">
          <w:rPr>
            <w:webHidden/>
          </w:rPr>
          <w:tab/>
        </w:r>
        <w:r w:rsidR="00C64F60">
          <w:rPr>
            <w:webHidden/>
          </w:rPr>
          <w:fldChar w:fldCharType="begin"/>
        </w:r>
        <w:r w:rsidR="00C64F60">
          <w:rPr>
            <w:webHidden/>
          </w:rPr>
          <w:instrText xml:space="preserve"> PAGEREF _Toc80621798 \h </w:instrText>
        </w:r>
        <w:r w:rsidR="00C64F60">
          <w:rPr>
            <w:webHidden/>
          </w:rPr>
        </w:r>
        <w:r w:rsidR="00C64F60">
          <w:rPr>
            <w:webHidden/>
          </w:rPr>
          <w:fldChar w:fldCharType="separate"/>
        </w:r>
        <w:r w:rsidR="00C64F60">
          <w:rPr>
            <w:webHidden/>
          </w:rPr>
          <w:t>5</w:t>
        </w:r>
        <w:r w:rsidR="00C64F60">
          <w:rPr>
            <w:webHidden/>
          </w:rPr>
          <w:fldChar w:fldCharType="end"/>
        </w:r>
      </w:hyperlink>
    </w:p>
    <w:p w14:paraId="366608E0" w14:textId="13B808E4" w:rsidR="00C64F60" w:rsidRDefault="00294807">
      <w:pPr>
        <w:pStyle w:val="TOC1"/>
        <w:rPr>
          <w:rFonts w:asciiTheme="minorHAnsi" w:eastAsiaTheme="minorEastAsia" w:hAnsiTheme="minorHAnsi"/>
          <w:b w:val="0"/>
          <w:noProof/>
          <w:sz w:val="22"/>
        </w:rPr>
      </w:pPr>
      <w:hyperlink w:anchor="_Toc80621799" w:history="1">
        <w:r w:rsidR="00C64F60" w:rsidRPr="00C97FE7">
          <w:rPr>
            <w:rStyle w:val="Hyperlink"/>
            <w:noProof/>
          </w:rPr>
          <w:t>2.</w:t>
        </w:r>
        <w:r w:rsidR="00C64F60">
          <w:rPr>
            <w:rFonts w:asciiTheme="minorHAnsi" w:eastAsiaTheme="minorEastAsia" w:hAnsiTheme="minorHAnsi"/>
            <w:b w:val="0"/>
            <w:noProof/>
            <w:sz w:val="22"/>
          </w:rPr>
          <w:tab/>
        </w:r>
        <w:r w:rsidR="00C64F60" w:rsidRPr="00C97FE7">
          <w:rPr>
            <w:rStyle w:val="Hyperlink"/>
            <w:noProof/>
          </w:rPr>
          <w:t>Installing the Sage 300 Upgrade Wizard</w:t>
        </w:r>
        <w:r w:rsidR="00C64F60">
          <w:rPr>
            <w:noProof/>
            <w:webHidden/>
          </w:rPr>
          <w:tab/>
        </w:r>
        <w:r w:rsidR="00C64F60">
          <w:rPr>
            <w:noProof/>
            <w:webHidden/>
          </w:rPr>
          <w:fldChar w:fldCharType="begin"/>
        </w:r>
        <w:r w:rsidR="00C64F60">
          <w:rPr>
            <w:noProof/>
            <w:webHidden/>
          </w:rPr>
          <w:instrText xml:space="preserve"> PAGEREF _Toc80621799 \h </w:instrText>
        </w:r>
        <w:r w:rsidR="00C64F60">
          <w:rPr>
            <w:noProof/>
            <w:webHidden/>
          </w:rPr>
        </w:r>
        <w:r w:rsidR="00C64F60">
          <w:rPr>
            <w:noProof/>
            <w:webHidden/>
          </w:rPr>
          <w:fldChar w:fldCharType="separate"/>
        </w:r>
        <w:r w:rsidR="00C64F60">
          <w:rPr>
            <w:noProof/>
            <w:webHidden/>
          </w:rPr>
          <w:t>6</w:t>
        </w:r>
        <w:r w:rsidR="00C64F60">
          <w:rPr>
            <w:noProof/>
            <w:webHidden/>
          </w:rPr>
          <w:fldChar w:fldCharType="end"/>
        </w:r>
      </w:hyperlink>
    </w:p>
    <w:p w14:paraId="036F4DAC" w14:textId="0C529EDA" w:rsidR="00C64F60" w:rsidRDefault="00294807">
      <w:pPr>
        <w:pStyle w:val="TOC1"/>
        <w:rPr>
          <w:rFonts w:asciiTheme="minorHAnsi" w:eastAsiaTheme="minorEastAsia" w:hAnsiTheme="minorHAnsi"/>
          <w:b w:val="0"/>
          <w:noProof/>
          <w:sz w:val="22"/>
        </w:rPr>
      </w:pPr>
      <w:hyperlink w:anchor="_Toc80621800" w:history="1">
        <w:r w:rsidR="00C64F60" w:rsidRPr="00C97FE7">
          <w:rPr>
            <w:rStyle w:val="Hyperlink"/>
            <w:noProof/>
          </w:rPr>
          <w:t>3.</w:t>
        </w:r>
        <w:r w:rsidR="00C64F60">
          <w:rPr>
            <w:rFonts w:asciiTheme="minorHAnsi" w:eastAsiaTheme="minorEastAsia" w:hAnsiTheme="minorHAnsi"/>
            <w:b w:val="0"/>
            <w:noProof/>
            <w:sz w:val="22"/>
          </w:rPr>
          <w:tab/>
        </w:r>
        <w:r w:rsidR="00C64F60" w:rsidRPr="00C97FE7">
          <w:rPr>
            <w:rStyle w:val="Hyperlink"/>
            <w:noProof/>
          </w:rPr>
          <w:t>Accessing the Sage 300 2022.0 Upgrade Wizard</w:t>
        </w:r>
        <w:r w:rsidR="00C64F60">
          <w:rPr>
            <w:noProof/>
            <w:webHidden/>
          </w:rPr>
          <w:tab/>
        </w:r>
        <w:r w:rsidR="00C64F60">
          <w:rPr>
            <w:noProof/>
            <w:webHidden/>
          </w:rPr>
          <w:fldChar w:fldCharType="begin"/>
        </w:r>
        <w:r w:rsidR="00C64F60">
          <w:rPr>
            <w:noProof/>
            <w:webHidden/>
          </w:rPr>
          <w:instrText xml:space="preserve"> PAGEREF _Toc80621800 \h </w:instrText>
        </w:r>
        <w:r w:rsidR="00C64F60">
          <w:rPr>
            <w:noProof/>
            <w:webHidden/>
          </w:rPr>
        </w:r>
        <w:r w:rsidR="00C64F60">
          <w:rPr>
            <w:noProof/>
            <w:webHidden/>
          </w:rPr>
          <w:fldChar w:fldCharType="separate"/>
        </w:r>
        <w:r w:rsidR="00C64F60">
          <w:rPr>
            <w:noProof/>
            <w:webHidden/>
          </w:rPr>
          <w:t>7</w:t>
        </w:r>
        <w:r w:rsidR="00C64F60">
          <w:rPr>
            <w:noProof/>
            <w:webHidden/>
          </w:rPr>
          <w:fldChar w:fldCharType="end"/>
        </w:r>
      </w:hyperlink>
    </w:p>
    <w:p w14:paraId="60038039" w14:textId="477AC2AC" w:rsidR="00C64F60" w:rsidRDefault="00294807">
      <w:pPr>
        <w:pStyle w:val="TOC1"/>
        <w:rPr>
          <w:rFonts w:asciiTheme="minorHAnsi" w:eastAsiaTheme="minorEastAsia" w:hAnsiTheme="minorHAnsi"/>
          <w:b w:val="0"/>
          <w:noProof/>
          <w:sz w:val="22"/>
        </w:rPr>
      </w:pPr>
      <w:hyperlink w:anchor="_Toc80621801" w:history="1">
        <w:r w:rsidR="00C64F60" w:rsidRPr="00C97FE7">
          <w:rPr>
            <w:rStyle w:val="Hyperlink"/>
            <w:noProof/>
          </w:rPr>
          <w:t>4.</w:t>
        </w:r>
        <w:r w:rsidR="00C64F60">
          <w:rPr>
            <w:rFonts w:asciiTheme="minorHAnsi" w:eastAsiaTheme="minorEastAsia" w:hAnsiTheme="minorHAnsi"/>
            <w:b w:val="0"/>
            <w:noProof/>
            <w:sz w:val="22"/>
          </w:rPr>
          <w:tab/>
        </w:r>
        <w:r w:rsidR="00C64F60" w:rsidRPr="00C97FE7">
          <w:rPr>
            <w:rStyle w:val="Hyperlink"/>
            <w:noProof/>
          </w:rPr>
          <w:t>Using the Sage 300 Upgrade Wizard</w:t>
        </w:r>
        <w:r w:rsidR="00C64F60">
          <w:rPr>
            <w:noProof/>
            <w:webHidden/>
          </w:rPr>
          <w:tab/>
        </w:r>
        <w:r w:rsidR="00C64F60">
          <w:rPr>
            <w:noProof/>
            <w:webHidden/>
          </w:rPr>
          <w:fldChar w:fldCharType="begin"/>
        </w:r>
        <w:r w:rsidR="00C64F60">
          <w:rPr>
            <w:noProof/>
            <w:webHidden/>
          </w:rPr>
          <w:instrText xml:space="preserve"> PAGEREF _Toc80621801 \h </w:instrText>
        </w:r>
        <w:r w:rsidR="00C64F60">
          <w:rPr>
            <w:noProof/>
            <w:webHidden/>
          </w:rPr>
        </w:r>
        <w:r w:rsidR="00C64F60">
          <w:rPr>
            <w:noProof/>
            <w:webHidden/>
          </w:rPr>
          <w:fldChar w:fldCharType="separate"/>
        </w:r>
        <w:r w:rsidR="00C64F60">
          <w:rPr>
            <w:noProof/>
            <w:webHidden/>
          </w:rPr>
          <w:t>8</w:t>
        </w:r>
        <w:r w:rsidR="00C64F60">
          <w:rPr>
            <w:noProof/>
            <w:webHidden/>
          </w:rPr>
          <w:fldChar w:fldCharType="end"/>
        </w:r>
      </w:hyperlink>
    </w:p>
    <w:p w14:paraId="015AE227" w14:textId="15204E5F" w:rsidR="00C64F60" w:rsidRDefault="00294807">
      <w:pPr>
        <w:pStyle w:val="TOC2"/>
        <w:rPr>
          <w:rFonts w:asciiTheme="minorHAnsi" w:eastAsiaTheme="minorEastAsia" w:hAnsiTheme="minorHAnsi"/>
        </w:rPr>
      </w:pPr>
      <w:hyperlink w:anchor="_Toc80621802" w:history="1">
        <w:r w:rsidR="00C64F60" w:rsidRPr="00C97FE7">
          <w:rPr>
            <w:rStyle w:val="Hyperlink"/>
          </w:rPr>
          <w:t>4.1</w:t>
        </w:r>
        <w:r w:rsidR="00C64F60">
          <w:rPr>
            <w:rFonts w:asciiTheme="minorHAnsi" w:eastAsiaTheme="minorEastAsia" w:hAnsiTheme="minorHAnsi"/>
          </w:rPr>
          <w:tab/>
        </w:r>
        <w:r w:rsidR="00C64F60" w:rsidRPr="00C97FE7">
          <w:rPr>
            <w:rStyle w:val="Hyperlink"/>
          </w:rPr>
          <w:t>Step 1 – Synchronize Kendo Files</w:t>
        </w:r>
        <w:r w:rsidR="00C64F60">
          <w:rPr>
            <w:webHidden/>
          </w:rPr>
          <w:tab/>
        </w:r>
        <w:r w:rsidR="00C64F60">
          <w:rPr>
            <w:webHidden/>
          </w:rPr>
          <w:fldChar w:fldCharType="begin"/>
        </w:r>
        <w:r w:rsidR="00C64F60">
          <w:rPr>
            <w:webHidden/>
          </w:rPr>
          <w:instrText xml:space="preserve"> PAGEREF _Toc80621802 \h </w:instrText>
        </w:r>
        <w:r w:rsidR="00C64F60">
          <w:rPr>
            <w:webHidden/>
          </w:rPr>
        </w:r>
        <w:r w:rsidR="00C64F60">
          <w:rPr>
            <w:webHidden/>
          </w:rPr>
          <w:fldChar w:fldCharType="separate"/>
        </w:r>
        <w:r w:rsidR="00C64F60">
          <w:rPr>
            <w:webHidden/>
          </w:rPr>
          <w:t>9</w:t>
        </w:r>
        <w:r w:rsidR="00C64F60">
          <w:rPr>
            <w:webHidden/>
          </w:rPr>
          <w:fldChar w:fldCharType="end"/>
        </w:r>
      </w:hyperlink>
    </w:p>
    <w:p w14:paraId="16A2A4AC" w14:textId="2EA883C7" w:rsidR="00C64F60" w:rsidRDefault="00294807">
      <w:pPr>
        <w:pStyle w:val="TOC2"/>
        <w:rPr>
          <w:rFonts w:asciiTheme="minorHAnsi" w:eastAsiaTheme="minorEastAsia" w:hAnsiTheme="minorHAnsi"/>
        </w:rPr>
      </w:pPr>
      <w:hyperlink w:anchor="_Toc80621803" w:history="1">
        <w:r w:rsidR="00C64F60" w:rsidRPr="00C97FE7">
          <w:rPr>
            <w:rStyle w:val="Hyperlink"/>
          </w:rPr>
          <w:t>4.2</w:t>
        </w:r>
        <w:r w:rsidR="00C64F60">
          <w:rPr>
            <w:rFonts w:asciiTheme="minorHAnsi" w:eastAsiaTheme="minorEastAsia" w:hAnsiTheme="minorHAnsi"/>
          </w:rPr>
          <w:tab/>
        </w:r>
        <w:r w:rsidR="00C64F60" w:rsidRPr="00C97FE7">
          <w:rPr>
            <w:rStyle w:val="Hyperlink"/>
          </w:rPr>
          <w:t>Step 2 – Synchronize Web Files</w:t>
        </w:r>
        <w:r w:rsidR="00C64F60">
          <w:rPr>
            <w:webHidden/>
          </w:rPr>
          <w:tab/>
        </w:r>
        <w:r w:rsidR="00C64F60">
          <w:rPr>
            <w:webHidden/>
          </w:rPr>
          <w:fldChar w:fldCharType="begin"/>
        </w:r>
        <w:r w:rsidR="00C64F60">
          <w:rPr>
            <w:webHidden/>
          </w:rPr>
          <w:instrText xml:space="preserve"> PAGEREF _Toc80621803 \h </w:instrText>
        </w:r>
        <w:r w:rsidR="00C64F60">
          <w:rPr>
            <w:webHidden/>
          </w:rPr>
        </w:r>
        <w:r w:rsidR="00C64F60">
          <w:rPr>
            <w:webHidden/>
          </w:rPr>
          <w:fldChar w:fldCharType="separate"/>
        </w:r>
        <w:r w:rsidR="00C64F60">
          <w:rPr>
            <w:webHidden/>
          </w:rPr>
          <w:t>10</w:t>
        </w:r>
        <w:r w:rsidR="00C64F60">
          <w:rPr>
            <w:webHidden/>
          </w:rPr>
          <w:fldChar w:fldCharType="end"/>
        </w:r>
      </w:hyperlink>
    </w:p>
    <w:p w14:paraId="78941E4B" w14:textId="035A411E" w:rsidR="00C64F60" w:rsidRDefault="00294807">
      <w:pPr>
        <w:pStyle w:val="TOC2"/>
        <w:rPr>
          <w:rFonts w:asciiTheme="minorHAnsi" w:eastAsiaTheme="minorEastAsia" w:hAnsiTheme="minorHAnsi"/>
        </w:rPr>
      </w:pPr>
      <w:hyperlink w:anchor="_Toc80621804" w:history="1">
        <w:r w:rsidR="00C64F60" w:rsidRPr="00C97FE7">
          <w:rPr>
            <w:rStyle w:val="Hyperlink"/>
          </w:rPr>
          <w:t>4.3</w:t>
        </w:r>
        <w:r w:rsidR="00C64F60">
          <w:rPr>
            <w:rFonts w:asciiTheme="minorHAnsi" w:eastAsiaTheme="minorEastAsia" w:hAnsiTheme="minorHAnsi"/>
          </w:rPr>
          <w:tab/>
        </w:r>
        <w:r w:rsidR="00C64F60" w:rsidRPr="00C97FE7">
          <w:rPr>
            <w:rStyle w:val="Hyperlink"/>
          </w:rPr>
          <w:t>Step 3 – Synchronize Accpac Libraries</w:t>
        </w:r>
        <w:r w:rsidR="00C64F60">
          <w:rPr>
            <w:webHidden/>
          </w:rPr>
          <w:tab/>
        </w:r>
        <w:r w:rsidR="00C64F60">
          <w:rPr>
            <w:webHidden/>
          </w:rPr>
          <w:fldChar w:fldCharType="begin"/>
        </w:r>
        <w:r w:rsidR="00C64F60">
          <w:rPr>
            <w:webHidden/>
          </w:rPr>
          <w:instrText xml:space="preserve"> PAGEREF _Toc80621804 \h </w:instrText>
        </w:r>
        <w:r w:rsidR="00C64F60">
          <w:rPr>
            <w:webHidden/>
          </w:rPr>
        </w:r>
        <w:r w:rsidR="00C64F60">
          <w:rPr>
            <w:webHidden/>
          </w:rPr>
          <w:fldChar w:fldCharType="separate"/>
        </w:r>
        <w:r w:rsidR="00C64F60">
          <w:rPr>
            <w:webHidden/>
          </w:rPr>
          <w:t>11</w:t>
        </w:r>
        <w:r w:rsidR="00C64F60">
          <w:rPr>
            <w:webHidden/>
          </w:rPr>
          <w:fldChar w:fldCharType="end"/>
        </w:r>
      </w:hyperlink>
    </w:p>
    <w:p w14:paraId="655B1758" w14:textId="233AC1EF" w:rsidR="00C64F60" w:rsidRDefault="00294807">
      <w:pPr>
        <w:pStyle w:val="TOC2"/>
        <w:rPr>
          <w:rFonts w:asciiTheme="minorHAnsi" w:eastAsiaTheme="minorEastAsia" w:hAnsiTheme="minorHAnsi"/>
        </w:rPr>
      </w:pPr>
      <w:hyperlink w:anchor="_Toc80621805" w:history="1">
        <w:r w:rsidR="00C64F60" w:rsidRPr="00C97FE7">
          <w:rPr>
            <w:rStyle w:val="Hyperlink"/>
          </w:rPr>
          <w:t>4.4</w:t>
        </w:r>
        <w:r w:rsidR="00C64F60">
          <w:rPr>
            <w:rFonts w:asciiTheme="minorHAnsi" w:eastAsiaTheme="minorEastAsia" w:hAnsiTheme="minorHAnsi"/>
          </w:rPr>
          <w:tab/>
        </w:r>
        <w:r w:rsidR="00C64F60" w:rsidRPr="00C97FE7">
          <w:rPr>
            <w:rStyle w:val="Hyperlink"/>
          </w:rPr>
          <w:t>Step 4 – Remove previous version of jQuery libraries</w:t>
        </w:r>
        <w:r w:rsidR="00C64F60">
          <w:rPr>
            <w:webHidden/>
          </w:rPr>
          <w:tab/>
        </w:r>
        <w:r w:rsidR="00C64F60">
          <w:rPr>
            <w:webHidden/>
          </w:rPr>
          <w:fldChar w:fldCharType="begin"/>
        </w:r>
        <w:r w:rsidR="00C64F60">
          <w:rPr>
            <w:webHidden/>
          </w:rPr>
          <w:instrText xml:space="preserve"> PAGEREF _Toc80621805 \h </w:instrText>
        </w:r>
        <w:r w:rsidR="00C64F60">
          <w:rPr>
            <w:webHidden/>
          </w:rPr>
        </w:r>
        <w:r w:rsidR="00C64F60">
          <w:rPr>
            <w:webHidden/>
          </w:rPr>
          <w:fldChar w:fldCharType="separate"/>
        </w:r>
        <w:r w:rsidR="00C64F60">
          <w:rPr>
            <w:webHidden/>
          </w:rPr>
          <w:t>12</w:t>
        </w:r>
        <w:r w:rsidR="00C64F60">
          <w:rPr>
            <w:webHidden/>
          </w:rPr>
          <w:fldChar w:fldCharType="end"/>
        </w:r>
      </w:hyperlink>
    </w:p>
    <w:p w14:paraId="729B895F" w14:textId="29C0AA07" w:rsidR="00C64F60" w:rsidRDefault="00294807">
      <w:pPr>
        <w:pStyle w:val="TOC2"/>
        <w:rPr>
          <w:rFonts w:asciiTheme="minorHAnsi" w:eastAsiaTheme="minorEastAsia" w:hAnsiTheme="minorHAnsi"/>
        </w:rPr>
      </w:pPr>
      <w:hyperlink w:anchor="_Toc80621806" w:history="1">
        <w:r w:rsidR="00C64F60" w:rsidRPr="00C97FE7">
          <w:rPr>
            <w:rStyle w:val="Hyperlink"/>
          </w:rPr>
          <w:t>4.5</w:t>
        </w:r>
        <w:r w:rsidR="00C64F60">
          <w:rPr>
            <w:rFonts w:asciiTheme="minorHAnsi" w:eastAsiaTheme="minorEastAsia" w:hAnsiTheme="minorHAnsi"/>
          </w:rPr>
          <w:tab/>
        </w:r>
        <w:r w:rsidR="00C64F60" w:rsidRPr="00C97FE7">
          <w:rPr>
            <w:rStyle w:val="Hyperlink"/>
          </w:rPr>
          <w:t>Step 5 – Namespace and Web Project Updates</w:t>
        </w:r>
        <w:r w:rsidR="00C64F60">
          <w:rPr>
            <w:webHidden/>
          </w:rPr>
          <w:tab/>
        </w:r>
        <w:r w:rsidR="00C64F60">
          <w:rPr>
            <w:webHidden/>
          </w:rPr>
          <w:fldChar w:fldCharType="begin"/>
        </w:r>
        <w:r w:rsidR="00C64F60">
          <w:rPr>
            <w:webHidden/>
          </w:rPr>
          <w:instrText xml:space="preserve"> PAGEREF _Toc80621806 \h </w:instrText>
        </w:r>
        <w:r w:rsidR="00C64F60">
          <w:rPr>
            <w:webHidden/>
          </w:rPr>
        </w:r>
        <w:r w:rsidR="00C64F60">
          <w:rPr>
            <w:webHidden/>
          </w:rPr>
          <w:fldChar w:fldCharType="separate"/>
        </w:r>
        <w:r w:rsidR="00C64F60">
          <w:rPr>
            <w:webHidden/>
          </w:rPr>
          <w:t>13</w:t>
        </w:r>
        <w:r w:rsidR="00C64F60">
          <w:rPr>
            <w:webHidden/>
          </w:rPr>
          <w:fldChar w:fldCharType="end"/>
        </w:r>
      </w:hyperlink>
    </w:p>
    <w:p w14:paraId="53F1EBC2" w14:textId="2F12A5E2" w:rsidR="00C64F60" w:rsidRDefault="00294807">
      <w:pPr>
        <w:pStyle w:val="TOC2"/>
        <w:rPr>
          <w:rFonts w:asciiTheme="minorHAnsi" w:eastAsiaTheme="minorEastAsia" w:hAnsiTheme="minorHAnsi"/>
        </w:rPr>
      </w:pPr>
      <w:hyperlink w:anchor="_Toc80621807" w:history="1">
        <w:r w:rsidR="00C64F60" w:rsidRPr="00C97FE7">
          <w:rPr>
            <w:rStyle w:val="Hyperlink"/>
          </w:rPr>
          <w:t>4.6</w:t>
        </w:r>
        <w:r w:rsidR="00C64F60">
          <w:rPr>
            <w:rFonts w:asciiTheme="minorHAnsi" w:eastAsiaTheme="minorEastAsia" w:hAnsiTheme="minorHAnsi"/>
          </w:rPr>
          <w:tab/>
        </w:r>
        <w:r w:rsidR="00C64F60" w:rsidRPr="00C97FE7">
          <w:rPr>
            <w:rStyle w:val="Hyperlink"/>
          </w:rPr>
          <w:t>Step 6 – Finder Alterations</w:t>
        </w:r>
        <w:r w:rsidR="00C64F60">
          <w:rPr>
            <w:webHidden/>
          </w:rPr>
          <w:tab/>
        </w:r>
        <w:r w:rsidR="00C64F60">
          <w:rPr>
            <w:webHidden/>
          </w:rPr>
          <w:fldChar w:fldCharType="begin"/>
        </w:r>
        <w:r w:rsidR="00C64F60">
          <w:rPr>
            <w:webHidden/>
          </w:rPr>
          <w:instrText xml:space="preserve"> PAGEREF _Toc80621807 \h </w:instrText>
        </w:r>
        <w:r w:rsidR="00C64F60">
          <w:rPr>
            <w:webHidden/>
          </w:rPr>
        </w:r>
        <w:r w:rsidR="00C64F60">
          <w:rPr>
            <w:webHidden/>
          </w:rPr>
          <w:fldChar w:fldCharType="separate"/>
        </w:r>
        <w:r w:rsidR="00C64F60">
          <w:rPr>
            <w:webHidden/>
          </w:rPr>
          <w:t>14</w:t>
        </w:r>
        <w:r w:rsidR="00C64F60">
          <w:rPr>
            <w:webHidden/>
          </w:rPr>
          <w:fldChar w:fldCharType="end"/>
        </w:r>
      </w:hyperlink>
    </w:p>
    <w:p w14:paraId="02EE6133" w14:textId="73D92534" w:rsidR="00C64F60" w:rsidRDefault="00294807">
      <w:pPr>
        <w:pStyle w:val="TOC2"/>
        <w:rPr>
          <w:rFonts w:asciiTheme="minorHAnsi" w:eastAsiaTheme="minorEastAsia" w:hAnsiTheme="minorHAnsi"/>
        </w:rPr>
      </w:pPr>
      <w:hyperlink w:anchor="_Toc80621808" w:history="1">
        <w:r w:rsidR="00C64F60" w:rsidRPr="00C97FE7">
          <w:rPr>
            <w:rStyle w:val="Hyperlink"/>
          </w:rPr>
          <w:t>4.7</w:t>
        </w:r>
        <w:r w:rsidR="00C64F60">
          <w:rPr>
            <w:rFonts w:asciiTheme="minorHAnsi" w:eastAsiaTheme="minorEastAsia" w:hAnsiTheme="minorHAnsi"/>
          </w:rPr>
          <w:tab/>
        </w:r>
        <w:r w:rsidR="00C64F60" w:rsidRPr="00C97FE7">
          <w:rPr>
            <w:rStyle w:val="Hyperlink"/>
          </w:rPr>
          <w:t>Step 7 – Javascript Minification Updates</w:t>
        </w:r>
        <w:r w:rsidR="00C64F60">
          <w:rPr>
            <w:webHidden/>
          </w:rPr>
          <w:tab/>
        </w:r>
        <w:r w:rsidR="00C64F60">
          <w:rPr>
            <w:webHidden/>
          </w:rPr>
          <w:fldChar w:fldCharType="begin"/>
        </w:r>
        <w:r w:rsidR="00C64F60">
          <w:rPr>
            <w:webHidden/>
          </w:rPr>
          <w:instrText xml:space="preserve"> PAGEREF _Toc80621808 \h </w:instrText>
        </w:r>
        <w:r w:rsidR="00C64F60">
          <w:rPr>
            <w:webHidden/>
          </w:rPr>
        </w:r>
        <w:r w:rsidR="00C64F60">
          <w:rPr>
            <w:webHidden/>
          </w:rPr>
          <w:fldChar w:fldCharType="separate"/>
        </w:r>
        <w:r w:rsidR="00C64F60">
          <w:rPr>
            <w:webHidden/>
          </w:rPr>
          <w:t>15</w:t>
        </w:r>
        <w:r w:rsidR="00C64F60">
          <w:rPr>
            <w:webHidden/>
          </w:rPr>
          <w:fldChar w:fldCharType="end"/>
        </w:r>
      </w:hyperlink>
    </w:p>
    <w:p w14:paraId="0E138E56" w14:textId="0BA99FF5" w:rsidR="00C64F60" w:rsidRDefault="00294807">
      <w:pPr>
        <w:pStyle w:val="TOC2"/>
        <w:rPr>
          <w:rFonts w:asciiTheme="minorHAnsi" w:eastAsiaTheme="minorEastAsia" w:hAnsiTheme="minorHAnsi"/>
        </w:rPr>
      </w:pPr>
      <w:hyperlink w:anchor="_Toc80621809" w:history="1">
        <w:r w:rsidR="00C64F60" w:rsidRPr="00C97FE7">
          <w:rPr>
            <w:rStyle w:val="Hyperlink"/>
          </w:rPr>
          <w:t>4.8</w:t>
        </w:r>
        <w:r w:rsidR="00C64F60">
          <w:rPr>
            <w:rFonts w:asciiTheme="minorHAnsi" w:eastAsiaTheme="minorEastAsia" w:hAnsiTheme="minorHAnsi"/>
          </w:rPr>
          <w:tab/>
        </w:r>
        <w:r w:rsidR="00C64F60" w:rsidRPr="00C97FE7">
          <w:rPr>
            <w:rStyle w:val="Hyperlink"/>
          </w:rPr>
          <w:t>Step 8 – Confirmation</w:t>
        </w:r>
        <w:r w:rsidR="00C64F60">
          <w:rPr>
            <w:webHidden/>
          </w:rPr>
          <w:tab/>
        </w:r>
        <w:r w:rsidR="00C64F60">
          <w:rPr>
            <w:webHidden/>
          </w:rPr>
          <w:fldChar w:fldCharType="begin"/>
        </w:r>
        <w:r w:rsidR="00C64F60">
          <w:rPr>
            <w:webHidden/>
          </w:rPr>
          <w:instrText xml:space="preserve"> PAGEREF _Toc80621809 \h </w:instrText>
        </w:r>
        <w:r w:rsidR="00C64F60">
          <w:rPr>
            <w:webHidden/>
          </w:rPr>
        </w:r>
        <w:r w:rsidR="00C64F60">
          <w:rPr>
            <w:webHidden/>
          </w:rPr>
          <w:fldChar w:fldCharType="separate"/>
        </w:r>
        <w:r w:rsidR="00C64F60">
          <w:rPr>
            <w:webHidden/>
          </w:rPr>
          <w:t>16</w:t>
        </w:r>
        <w:r w:rsidR="00C64F60">
          <w:rPr>
            <w:webHidden/>
          </w:rPr>
          <w:fldChar w:fldCharType="end"/>
        </w:r>
      </w:hyperlink>
    </w:p>
    <w:p w14:paraId="1F48448D" w14:textId="5DB68827" w:rsidR="00C64F60" w:rsidRDefault="00294807">
      <w:pPr>
        <w:pStyle w:val="TOC2"/>
        <w:rPr>
          <w:rFonts w:asciiTheme="minorHAnsi" w:eastAsiaTheme="minorEastAsia" w:hAnsiTheme="minorHAnsi"/>
        </w:rPr>
      </w:pPr>
      <w:hyperlink w:anchor="_Toc80621810" w:history="1">
        <w:r w:rsidR="00C64F60" w:rsidRPr="00C97FE7">
          <w:rPr>
            <w:rStyle w:val="Hyperlink"/>
          </w:rPr>
          <w:t>4.9</w:t>
        </w:r>
        <w:r w:rsidR="00C64F60">
          <w:rPr>
            <w:rFonts w:asciiTheme="minorHAnsi" w:eastAsiaTheme="minorEastAsia" w:hAnsiTheme="minorHAnsi"/>
          </w:rPr>
          <w:tab/>
        </w:r>
        <w:r w:rsidR="00C64F60" w:rsidRPr="00C97FE7">
          <w:rPr>
            <w:rStyle w:val="Hyperlink"/>
          </w:rPr>
          <w:t>Step 9 – Recompile</w:t>
        </w:r>
        <w:r w:rsidR="00C64F60">
          <w:rPr>
            <w:webHidden/>
          </w:rPr>
          <w:tab/>
        </w:r>
        <w:r w:rsidR="00C64F60">
          <w:rPr>
            <w:webHidden/>
          </w:rPr>
          <w:fldChar w:fldCharType="begin"/>
        </w:r>
        <w:r w:rsidR="00C64F60">
          <w:rPr>
            <w:webHidden/>
          </w:rPr>
          <w:instrText xml:space="preserve"> PAGEREF _Toc80621810 \h </w:instrText>
        </w:r>
        <w:r w:rsidR="00C64F60">
          <w:rPr>
            <w:webHidden/>
          </w:rPr>
        </w:r>
        <w:r w:rsidR="00C64F60">
          <w:rPr>
            <w:webHidden/>
          </w:rPr>
          <w:fldChar w:fldCharType="separate"/>
        </w:r>
        <w:r w:rsidR="00C64F60">
          <w:rPr>
            <w:webHidden/>
          </w:rPr>
          <w:t>17</w:t>
        </w:r>
        <w:r w:rsidR="00C64F60">
          <w:rPr>
            <w:webHidden/>
          </w:rPr>
          <w:fldChar w:fldCharType="end"/>
        </w:r>
      </w:hyperlink>
    </w:p>
    <w:p w14:paraId="327A8E65" w14:textId="3AE05DCD" w:rsidR="00C64F60" w:rsidRDefault="00294807">
      <w:pPr>
        <w:pStyle w:val="TOC1"/>
        <w:rPr>
          <w:rFonts w:asciiTheme="minorHAnsi" w:eastAsiaTheme="minorEastAsia" w:hAnsiTheme="minorHAnsi"/>
          <w:b w:val="0"/>
          <w:noProof/>
          <w:sz w:val="22"/>
        </w:rPr>
      </w:pPr>
      <w:hyperlink w:anchor="_Toc80621811" w:history="1">
        <w:r w:rsidR="00C64F60" w:rsidRPr="00C97FE7">
          <w:rPr>
            <w:rStyle w:val="Hyperlink"/>
            <w:noProof/>
          </w:rPr>
          <w:t>5.</w:t>
        </w:r>
        <w:r w:rsidR="00C64F60">
          <w:rPr>
            <w:rFonts w:asciiTheme="minorHAnsi" w:eastAsiaTheme="minorEastAsia" w:hAnsiTheme="minorHAnsi"/>
            <w:b w:val="0"/>
            <w:noProof/>
            <w:sz w:val="22"/>
          </w:rPr>
          <w:tab/>
        </w:r>
        <w:r w:rsidR="00C64F60" w:rsidRPr="00C97FE7">
          <w:rPr>
            <w:rStyle w:val="Hyperlink"/>
            <w:noProof/>
          </w:rPr>
          <w:t>Upgrade Log</w:t>
        </w:r>
        <w:r w:rsidR="00C64F60">
          <w:rPr>
            <w:noProof/>
            <w:webHidden/>
          </w:rPr>
          <w:tab/>
        </w:r>
        <w:r w:rsidR="00C64F60">
          <w:rPr>
            <w:noProof/>
            <w:webHidden/>
          </w:rPr>
          <w:fldChar w:fldCharType="begin"/>
        </w:r>
        <w:r w:rsidR="00C64F60">
          <w:rPr>
            <w:noProof/>
            <w:webHidden/>
          </w:rPr>
          <w:instrText xml:space="preserve"> PAGEREF _Toc80621811 \h </w:instrText>
        </w:r>
        <w:r w:rsidR="00C64F60">
          <w:rPr>
            <w:noProof/>
            <w:webHidden/>
          </w:rPr>
        </w:r>
        <w:r w:rsidR="00C64F60">
          <w:rPr>
            <w:noProof/>
            <w:webHidden/>
          </w:rPr>
          <w:fldChar w:fldCharType="separate"/>
        </w:r>
        <w:r w:rsidR="00C64F60">
          <w:rPr>
            <w:noProof/>
            <w:webHidden/>
          </w:rPr>
          <w:t>18</w:t>
        </w:r>
        <w:r w:rsidR="00C64F60">
          <w:rPr>
            <w:noProof/>
            <w:webHidden/>
          </w:rPr>
          <w:fldChar w:fldCharType="end"/>
        </w:r>
      </w:hyperlink>
    </w:p>
    <w:p w14:paraId="22B582DF" w14:textId="55B7F653" w:rsidR="00C64F60" w:rsidRDefault="00294807">
      <w:pPr>
        <w:pStyle w:val="TOC1"/>
        <w:rPr>
          <w:rFonts w:asciiTheme="minorHAnsi" w:eastAsiaTheme="minorEastAsia" w:hAnsiTheme="minorHAnsi"/>
          <w:b w:val="0"/>
          <w:noProof/>
          <w:sz w:val="22"/>
        </w:rPr>
      </w:pPr>
      <w:hyperlink w:anchor="_Toc80621812" w:history="1">
        <w:r w:rsidR="00C64F60" w:rsidRPr="00C97FE7">
          <w:rPr>
            <w:rStyle w:val="Hyperlink"/>
            <w:noProof/>
          </w:rPr>
          <w:t>6.</w:t>
        </w:r>
        <w:r w:rsidR="00C64F60">
          <w:rPr>
            <w:rFonts w:asciiTheme="minorHAnsi" w:eastAsiaTheme="minorEastAsia" w:hAnsiTheme="minorHAnsi"/>
            <w:b w:val="0"/>
            <w:noProof/>
            <w:sz w:val="22"/>
          </w:rPr>
          <w:tab/>
        </w:r>
        <w:r w:rsidR="00C64F60" w:rsidRPr="00C97FE7">
          <w:rPr>
            <w:rStyle w:val="Hyperlink"/>
            <w:noProof/>
          </w:rPr>
          <w:t>Finder Alterations</w:t>
        </w:r>
        <w:r w:rsidR="00C64F60">
          <w:rPr>
            <w:noProof/>
            <w:webHidden/>
          </w:rPr>
          <w:tab/>
        </w:r>
        <w:r w:rsidR="00C64F60">
          <w:rPr>
            <w:noProof/>
            <w:webHidden/>
          </w:rPr>
          <w:fldChar w:fldCharType="begin"/>
        </w:r>
        <w:r w:rsidR="00C64F60">
          <w:rPr>
            <w:noProof/>
            <w:webHidden/>
          </w:rPr>
          <w:instrText xml:space="preserve"> PAGEREF _Toc80621812 \h </w:instrText>
        </w:r>
        <w:r w:rsidR="00C64F60">
          <w:rPr>
            <w:noProof/>
            <w:webHidden/>
          </w:rPr>
        </w:r>
        <w:r w:rsidR="00C64F60">
          <w:rPr>
            <w:noProof/>
            <w:webHidden/>
          </w:rPr>
          <w:fldChar w:fldCharType="separate"/>
        </w:r>
        <w:r w:rsidR="00C64F60">
          <w:rPr>
            <w:noProof/>
            <w:webHidden/>
          </w:rPr>
          <w:t>19</w:t>
        </w:r>
        <w:r w:rsidR="00C64F60">
          <w:rPr>
            <w:noProof/>
            <w:webHidden/>
          </w:rPr>
          <w:fldChar w:fldCharType="end"/>
        </w:r>
      </w:hyperlink>
    </w:p>
    <w:p w14:paraId="286A781C" w14:textId="4AE84513" w:rsidR="00C64F60" w:rsidRDefault="00294807">
      <w:pPr>
        <w:pStyle w:val="TOC2"/>
        <w:rPr>
          <w:rFonts w:asciiTheme="minorHAnsi" w:eastAsiaTheme="minorEastAsia" w:hAnsiTheme="minorHAnsi"/>
        </w:rPr>
      </w:pPr>
      <w:hyperlink w:anchor="_Toc80621813" w:history="1">
        <w:r w:rsidR="00C64F60" w:rsidRPr="00C97FE7">
          <w:rPr>
            <w:rStyle w:val="Hyperlink"/>
          </w:rPr>
          <w:t>6.1</w:t>
        </w:r>
        <w:r w:rsidR="00C64F60">
          <w:rPr>
            <w:rFonts w:asciiTheme="minorHAnsi" w:eastAsiaTheme="minorEastAsia" w:hAnsiTheme="minorHAnsi"/>
          </w:rPr>
          <w:tab/>
        </w:r>
        <w:r w:rsidR="00C64F60" w:rsidRPr="00C97FE7">
          <w:rPr>
            <w:rStyle w:val="Hyperlink"/>
          </w:rPr>
          <w:t>Overview</w:t>
        </w:r>
        <w:r w:rsidR="00C64F60">
          <w:rPr>
            <w:webHidden/>
          </w:rPr>
          <w:tab/>
        </w:r>
        <w:r w:rsidR="00C64F60">
          <w:rPr>
            <w:webHidden/>
          </w:rPr>
          <w:fldChar w:fldCharType="begin"/>
        </w:r>
        <w:r w:rsidR="00C64F60">
          <w:rPr>
            <w:webHidden/>
          </w:rPr>
          <w:instrText xml:space="preserve"> PAGEREF _Toc80621813 \h </w:instrText>
        </w:r>
        <w:r w:rsidR="00C64F60">
          <w:rPr>
            <w:webHidden/>
          </w:rPr>
        </w:r>
        <w:r w:rsidR="00C64F60">
          <w:rPr>
            <w:webHidden/>
          </w:rPr>
          <w:fldChar w:fldCharType="separate"/>
        </w:r>
        <w:r w:rsidR="00C64F60">
          <w:rPr>
            <w:webHidden/>
          </w:rPr>
          <w:t>19</w:t>
        </w:r>
        <w:r w:rsidR="00C64F60">
          <w:rPr>
            <w:webHidden/>
          </w:rPr>
          <w:fldChar w:fldCharType="end"/>
        </w:r>
      </w:hyperlink>
    </w:p>
    <w:p w14:paraId="178E8E82" w14:textId="21B65CB2" w:rsidR="00C64F60" w:rsidRDefault="00294807">
      <w:pPr>
        <w:pStyle w:val="TOC2"/>
        <w:rPr>
          <w:rFonts w:asciiTheme="minorHAnsi" w:eastAsiaTheme="minorEastAsia" w:hAnsiTheme="minorHAnsi"/>
        </w:rPr>
      </w:pPr>
      <w:hyperlink w:anchor="_Toc80621814" w:history="1">
        <w:r w:rsidR="00C64F60" w:rsidRPr="00C97FE7">
          <w:rPr>
            <w:rStyle w:val="Hyperlink"/>
          </w:rPr>
          <w:t>6.2</w:t>
        </w:r>
        <w:r w:rsidR="00C64F60">
          <w:rPr>
            <w:rFonts w:asciiTheme="minorHAnsi" w:eastAsiaTheme="minorEastAsia" w:hAnsiTheme="minorHAnsi"/>
          </w:rPr>
          <w:tab/>
        </w:r>
        <w:r w:rsidR="00C64F60" w:rsidRPr="00C97FE7">
          <w:rPr>
            <w:rStyle w:val="Hyperlink"/>
          </w:rPr>
          <w:t>Finder Architecture</w:t>
        </w:r>
        <w:r w:rsidR="00C64F60">
          <w:rPr>
            <w:webHidden/>
          </w:rPr>
          <w:tab/>
        </w:r>
        <w:r w:rsidR="00C64F60">
          <w:rPr>
            <w:webHidden/>
          </w:rPr>
          <w:fldChar w:fldCharType="begin"/>
        </w:r>
        <w:r w:rsidR="00C64F60">
          <w:rPr>
            <w:webHidden/>
          </w:rPr>
          <w:instrText xml:space="preserve"> PAGEREF _Toc80621814 \h </w:instrText>
        </w:r>
        <w:r w:rsidR="00C64F60">
          <w:rPr>
            <w:webHidden/>
          </w:rPr>
        </w:r>
        <w:r w:rsidR="00C64F60">
          <w:rPr>
            <w:webHidden/>
          </w:rPr>
          <w:fldChar w:fldCharType="separate"/>
        </w:r>
        <w:r w:rsidR="00C64F60">
          <w:rPr>
            <w:webHidden/>
          </w:rPr>
          <w:t>19</w:t>
        </w:r>
        <w:r w:rsidR="00C64F60">
          <w:rPr>
            <w:webHidden/>
          </w:rPr>
          <w:fldChar w:fldCharType="end"/>
        </w:r>
      </w:hyperlink>
    </w:p>
    <w:p w14:paraId="52FDDDE1" w14:textId="152F47EB" w:rsidR="00C64F60" w:rsidRDefault="00294807">
      <w:pPr>
        <w:pStyle w:val="TOC2"/>
        <w:rPr>
          <w:rFonts w:asciiTheme="minorHAnsi" w:eastAsiaTheme="minorEastAsia" w:hAnsiTheme="minorHAnsi"/>
        </w:rPr>
      </w:pPr>
      <w:hyperlink w:anchor="_Toc80621815" w:history="1">
        <w:r w:rsidR="00C64F60" w:rsidRPr="00C97FE7">
          <w:rPr>
            <w:rStyle w:val="Hyperlink"/>
          </w:rPr>
          <w:t>6.3</w:t>
        </w:r>
        <w:r w:rsidR="00C64F60">
          <w:rPr>
            <w:rFonts w:asciiTheme="minorHAnsi" w:eastAsiaTheme="minorEastAsia" w:hAnsiTheme="minorHAnsi"/>
          </w:rPr>
          <w:tab/>
        </w:r>
        <w:r w:rsidR="00C64F60" w:rsidRPr="00C97FE7">
          <w:rPr>
            <w:rStyle w:val="Hyperlink"/>
          </w:rPr>
          <w:t>Screen Implementations</w:t>
        </w:r>
        <w:r w:rsidR="00C64F60">
          <w:rPr>
            <w:webHidden/>
          </w:rPr>
          <w:tab/>
        </w:r>
        <w:r w:rsidR="00C64F60">
          <w:rPr>
            <w:webHidden/>
          </w:rPr>
          <w:fldChar w:fldCharType="begin"/>
        </w:r>
        <w:r w:rsidR="00C64F60">
          <w:rPr>
            <w:webHidden/>
          </w:rPr>
          <w:instrText xml:space="preserve"> PAGEREF _Toc80621815 \h </w:instrText>
        </w:r>
        <w:r w:rsidR="00C64F60">
          <w:rPr>
            <w:webHidden/>
          </w:rPr>
        </w:r>
        <w:r w:rsidR="00C64F60">
          <w:rPr>
            <w:webHidden/>
          </w:rPr>
          <w:fldChar w:fldCharType="separate"/>
        </w:r>
        <w:r w:rsidR="00C64F60">
          <w:rPr>
            <w:webHidden/>
          </w:rPr>
          <w:t>19</w:t>
        </w:r>
        <w:r w:rsidR="00C64F60">
          <w:rPr>
            <w:webHidden/>
          </w:rPr>
          <w:fldChar w:fldCharType="end"/>
        </w:r>
      </w:hyperlink>
    </w:p>
    <w:p w14:paraId="7035D39B" w14:textId="23D65DE2" w:rsidR="00C64F60" w:rsidRDefault="00294807">
      <w:pPr>
        <w:pStyle w:val="TOC3"/>
        <w:rPr>
          <w:rFonts w:asciiTheme="minorHAnsi" w:eastAsiaTheme="minorEastAsia" w:hAnsiTheme="minorHAnsi"/>
        </w:rPr>
      </w:pPr>
      <w:hyperlink w:anchor="_Toc80621816" w:history="1">
        <w:r w:rsidR="00C64F60" w:rsidRPr="00C97FE7">
          <w:rPr>
            <w:rStyle w:val="Hyperlink"/>
          </w:rPr>
          <w:t>6.3.1</w:t>
        </w:r>
        <w:r w:rsidR="00C64F60">
          <w:rPr>
            <w:rFonts w:asciiTheme="minorHAnsi" w:eastAsiaTheme="minorEastAsia" w:hAnsiTheme="minorHAnsi"/>
          </w:rPr>
          <w:tab/>
        </w:r>
        <w:r w:rsidR="00C64F60" w:rsidRPr="00C97FE7">
          <w:rPr>
            <w:rStyle w:val="Hyperlink"/>
          </w:rPr>
          <w:t>Screen Implementation Steps (summary)</w:t>
        </w:r>
        <w:r w:rsidR="00C64F60">
          <w:rPr>
            <w:webHidden/>
          </w:rPr>
          <w:tab/>
        </w:r>
        <w:r w:rsidR="00C64F60">
          <w:rPr>
            <w:webHidden/>
          </w:rPr>
          <w:fldChar w:fldCharType="begin"/>
        </w:r>
        <w:r w:rsidR="00C64F60">
          <w:rPr>
            <w:webHidden/>
          </w:rPr>
          <w:instrText xml:space="preserve"> PAGEREF _Toc80621816 \h </w:instrText>
        </w:r>
        <w:r w:rsidR="00C64F60">
          <w:rPr>
            <w:webHidden/>
          </w:rPr>
        </w:r>
        <w:r w:rsidR="00C64F60">
          <w:rPr>
            <w:webHidden/>
          </w:rPr>
          <w:fldChar w:fldCharType="separate"/>
        </w:r>
        <w:r w:rsidR="00C64F60">
          <w:rPr>
            <w:webHidden/>
          </w:rPr>
          <w:t>20</w:t>
        </w:r>
        <w:r w:rsidR="00C64F60">
          <w:rPr>
            <w:webHidden/>
          </w:rPr>
          <w:fldChar w:fldCharType="end"/>
        </w:r>
      </w:hyperlink>
    </w:p>
    <w:p w14:paraId="5C03DD77" w14:textId="0C8C8263" w:rsidR="00C64F60" w:rsidRDefault="00294807">
      <w:pPr>
        <w:pStyle w:val="TOC2"/>
        <w:rPr>
          <w:rFonts w:asciiTheme="minorHAnsi" w:eastAsiaTheme="minorEastAsia" w:hAnsiTheme="minorHAnsi"/>
        </w:rPr>
      </w:pPr>
      <w:hyperlink w:anchor="_Toc80621817" w:history="1">
        <w:r w:rsidR="00C64F60" w:rsidRPr="00C97FE7">
          <w:rPr>
            <w:rStyle w:val="Hyperlink"/>
          </w:rPr>
          <w:t>6.4</w:t>
        </w:r>
        <w:r w:rsidR="00C64F60">
          <w:rPr>
            <w:rFonts w:asciiTheme="minorHAnsi" w:eastAsiaTheme="minorEastAsia" w:hAnsiTheme="minorHAnsi"/>
          </w:rPr>
          <w:tab/>
        </w:r>
        <w:r w:rsidR="00C64F60" w:rsidRPr="00C97FE7">
          <w:rPr>
            <w:rStyle w:val="Hyperlink"/>
          </w:rPr>
          <w:t>Removal of Old Finders</w:t>
        </w:r>
        <w:r w:rsidR="00C64F60">
          <w:rPr>
            <w:webHidden/>
          </w:rPr>
          <w:tab/>
        </w:r>
        <w:r w:rsidR="00C64F60">
          <w:rPr>
            <w:webHidden/>
          </w:rPr>
          <w:fldChar w:fldCharType="begin"/>
        </w:r>
        <w:r w:rsidR="00C64F60">
          <w:rPr>
            <w:webHidden/>
          </w:rPr>
          <w:instrText xml:space="preserve"> PAGEREF _Toc80621817 \h </w:instrText>
        </w:r>
        <w:r w:rsidR="00C64F60">
          <w:rPr>
            <w:webHidden/>
          </w:rPr>
        </w:r>
        <w:r w:rsidR="00C64F60">
          <w:rPr>
            <w:webHidden/>
          </w:rPr>
          <w:fldChar w:fldCharType="separate"/>
        </w:r>
        <w:r w:rsidR="00C64F60">
          <w:rPr>
            <w:webHidden/>
          </w:rPr>
          <w:t>21</w:t>
        </w:r>
        <w:r w:rsidR="00C64F60">
          <w:rPr>
            <w:webHidden/>
          </w:rPr>
          <w:fldChar w:fldCharType="end"/>
        </w:r>
      </w:hyperlink>
    </w:p>
    <w:p w14:paraId="1B53F753" w14:textId="34F37910" w:rsidR="00C64F60" w:rsidRDefault="00294807">
      <w:pPr>
        <w:pStyle w:val="TOC3"/>
        <w:rPr>
          <w:rFonts w:asciiTheme="minorHAnsi" w:eastAsiaTheme="minorEastAsia" w:hAnsiTheme="minorHAnsi"/>
        </w:rPr>
      </w:pPr>
      <w:hyperlink w:anchor="_Toc80621818" w:history="1">
        <w:r w:rsidR="00C64F60" w:rsidRPr="00C97FE7">
          <w:rPr>
            <w:rStyle w:val="Hyperlink"/>
          </w:rPr>
          <w:t>6.4.1</w:t>
        </w:r>
        <w:r w:rsidR="00C64F60">
          <w:rPr>
            <w:rFonts w:asciiTheme="minorHAnsi" w:eastAsiaTheme="minorEastAsia" w:hAnsiTheme="minorHAnsi"/>
          </w:rPr>
          <w:tab/>
        </w:r>
        <w:r w:rsidR="00C64F60" w:rsidRPr="00C97FE7">
          <w:rPr>
            <w:rStyle w:val="Hyperlink"/>
          </w:rPr>
          <w:t>Finder Controllers</w:t>
        </w:r>
        <w:r w:rsidR="00C64F60">
          <w:rPr>
            <w:webHidden/>
          </w:rPr>
          <w:tab/>
        </w:r>
        <w:r w:rsidR="00C64F60">
          <w:rPr>
            <w:webHidden/>
          </w:rPr>
          <w:fldChar w:fldCharType="begin"/>
        </w:r>
        <w:r w:rsidR="00C64F60">
          <w:rPr>
            <w:webHidden/>
          </w:rPr>
          <w:instrText xml:space="preserve"> PAGEREF _Toc80621818 \h </w:instrText>
        </w:r>
        <w:r w:rsidR="00C64F60">
          <w:rPr>
            <w:webHidden/>
          </w:rPr>
        </w:r>
        <w:r w:rsidR="00C64F60">
          <w:rPr>
            <w:webHidden/>
          </w:rPr>
          <w:fldChar w:fldCharType="separate"/>
        </w:r>
        <w:r w:rsidR="00C64F60">
          <w:rPr>
            <w:webHidden/>
          </w:rPr>
          <w:t>21</w:t>
        </w:r>
        <w:r w:rsidR="00C64F60">
          <w:rPr>
            <w:webHidden/>
          </w:rPr>
          <w:fldChar w:fldCharType="end"/>
        </w:r>
      </w:hyperlink>
    </w:p>
    <w:p w14:paraId="7F43DD80" w14:textId="78895773" w:rsidR="00C64F60" w:rsidRDefault="00294807">
      <w:pPr>
        <w:pStyle w:val="TOC3"/>
        <w:rPr>
          <w:rFonts w:asciiTheme="minorHAnsi" w:eastAsiaTheme="minorEastAsia" w:hAnsiTheme="minorHAnsi"/>
        </w:rPr>
      </w:pPr>
      <w:hyperlink w:anchor="_Toc80621819" w:history="1">
        <w:r w:rsidR="00C64F60" w:rsidRPr="00C97FE7">
          <w:rPr>
            <w:rStyle w:val="Hyperlink"/>
          </w:rPr>
          <w:t>6.4.2</w:t>
        </w:r>
        <w:r w:rsidR="00C64F60">
          <w:rPr>
            <w:rFonts w:asciiTheme="minorHAnsi" w:eastAsiaTheme="minorEastAsia" w:hAnsiTheme="minorHAnsi"/>
          </w:rPr>
          <w:tab/>
        </w:r>
        <w:r w:rsidR="00C64F60" w:rsidRPr="00C97FE7">
          <w:rPr>
            <w:rStyle w:val="Hyperlink"/>
          </w:rPr>
          <w:t>Finder Registrations</w:t>
        </w:r>
        <w:r w:rsidR="00C64F60">
          <w:rPr>
            <w:webHidden/>
          </w:rPr>
          <w:tab/>
        </w:r>
        <w:r w:rsidR="00C64F60">
          <w:rPr>
            <w:webHidden/>
          </w:rPr>
          <w:fldChar w:fldCharType="begin"/>
        </w:r>
        <w:r w:rsidR="00C64F60">
          <w:rPr>
            <w:webHidden/>
          </w:rPr>
          <w:instrText xml:space="preserve"> PAGEREF _Toc80621819 \h </w:instrText>
        </w:r>
        <w:r w:rsidR="00C64F60">
          <w:rPr>
            <w:webHidden/>
          </w:rPr>
        </w:r>
        <w:r w:rsidR="00C64F60">
          <w:rPr>
            <w:webHidden/>
          </w:rPr>
          <w:fldChar w:fldCharType="separate"/>
        </w:r>
        <w:r w:rsidR="00C64F60">
          <w:rPr>
            <w:webHidden/>
          </w:rPr>
          <w:t>21</w:t>
        </w:r>
        <w:r w:rsidR="00C64F60">
          <w:rPr>
            <w:webHidden/>
          </w:rPr>
          <w:fldChar w:fldCharType="end"/>
        </w:r>
      </w:hyperlink>
    </w:p>
    <w:p w14:paraId="69957A19" w14:textId="7B35B450" w:rsidR="00C64F60" w:rsidRDefault="00294807">
      <w:pPr>
        <w:pStyle w:val="TOC2"/>
        <w:rPr>
          <w:rFonts w:asciiTheme="minorHAnsi" w:eastAsiaTheme="minorEastAsia" w:hAnsiTheme="minorHAnsi"/>
        </w:rPr>
      </w:pPr>
      <w:hyperlink w:anchor="_Toc80621820" w:history="1">
        <w:r w:rsidR="00C64F60" w:rsidRPr="00C97FE7">
          <w:rPr>
            <w:rStyle w:val="Hyperlink"/>
          </w:rPr>
          <w:t>6.5</w:t>
        </w:r>
        <w:r w:rsidR="00C64F60">
          <w:rPr>
            <w:rFonts w:asciiTheme="minorHAnsi" w:eastAsiaTheme="minorEastAsia" w:hAnsiTheme="minorHAnsi"/>
          </w:rPr>
          <w:tab/>
        </w:r>
        <w:r w:rsidR="00C64F60" w:rsidRPr="00C97FE7">
          <w:rPr>
            <w:rStyle w:val="Hyperlink"/>
          </w:rPr>
          <w:t>Web SDK Samples</w:t>
        </w:r>
        <w:r w:rsidR="00C64F60">
          <w:rPr>
            <w:webHidden/>
          </w:rPr>
          <w:tab/>
        </w:r>
        <w:r w:rsidR="00C64F60">
          <w:rPr>
            <w:webHidden/>
          </w:rPr>
          <w:fldChar w:fldCharType="begin"/>
        </w:r>
        <w:r w:rsidR="00C64F60">
          <w:rPr>
            <w:webHidden/>
          </w:rPr>
          <w:instrText xml:space="preserve"> PAGEREF _Toc80621820 \h </w:instrText>
        </w:r>
        <w:r w:rsidR="00C64F60">
          <w:rPr>
            <w:webHidden/>
          </w:rPr>
        </w:r>
        <w:r w:rsidR="00C64F60">
          <w:rPr>
            <w:webHidden/>
          </w:rPr>
          <w:fldChar w:fldCharType="separate"/>
        </w:r>
        <w:r w:rsidR="00C64F60">
          <w:rPr>
            <w:webHidden/>
          </w:rPr>
          <w:t>21</w:t>
        </w:r>
        <w:r w:rsidR="00C64F60">
          <w:rPr>
            <w:webHidden/>
          </w:rPr>
          <w:fldChar w:fldCharType="end"/>
        </w:r>
      </w:hyperlink>
    </w:p>
    <w:p w14:paraId="267A0200" w14:textId="30B05F2F" w:rsidR="00C64F60" w:rsidRDefault="00294807">
      <w:pPr>
        <w:pStyle w:val="TOC1"/>
        <w:rPr>
          <w:rFonts w:asciiTheme="minorHAnsi" w:eastAsiaTheme="minorEastAsia" w:hAnsiTheme="minorHAnsi"/>
          <w:b w:val="0"/>
          <w:noProof/>
          <w:sz w:val="22"/>
        </w:rPr>
      </w:pPr>
      <w:hyperlink w:anchor="_Toc80621821" w:history="1">
        <w:r w:rsidR="00C64F60" w:rsidRPr="00C97FE7">
          <w:rPr>
            <w:rStyle w:val="Hyperlink"/>
            <w:noProof/>
          </w:rPr>
          <w:t>7.</w:t>
        </w:r>
        <w:r w:rsidR="00C64F60">
          <w:rPr>
            <w:rFonts w:asciiTheme="minorHAnsi" w:eastAsiaTheme="minorEastAsia" w:hAnsiTheme="minorHAnsi"/>
            <w:b w:val="0"/>
            <w:noProof/>
            <w:sz w:val="22"/>
          </w:rPr>
          <w:tab/>
        </w:r>
        <w:r w:rsidR="00C64F60" w:rsidRPr="00C97FE7">
          <w:rPr>
            <w:rStyle w:val="Hyperlink"/>
            <w:noProof/>
          </w:rPr>
          <w:t>Javascript Minification Updates</w:t>
        </w:r>
        <w:r w:rsidR="00C64F60">
          <w:rPr>
            <w:noProof/>
            <w:webHidden/>
          </w:rPr>
          <w:tab/>
        </w:r>
        <w:r w:rsidR="00C64F60">
          <w:rPr>
            <w:noProof/>
            <w:webHidden/>
          </w:rPr>
          <w:fldChar w:fldCharType="begin"/>
        </w:r>
        <w:r w:rsidR="00C64F60">
          <w:rPr>
            <w:noProof/>
            <w:webHidden/>
          </w:rPr>
          <w:instrText xml:space="preserve"> PAGEREF _Toc80621821 \h </w:instrText>
        </w:r>
        <w:r w:rsidR="00C64F60">
          <w:rPr>
            <w:noProof/>
            <w:webHidden/>
          </w:rPr>
        </w:r>
        <w:r w:rsidR="00C64F60">
          <w:rPr>
            <w:noProof/>
            <w:webHidden/>
          </w:rPr>
          <w:fldChar w:fldCharType="separate"/>
        </w:r>
        <w:r w:rsidR="00C64F60">
          <w:rPr>
            <w:noProof/>
            <w:webHidden/>
          </w:rPr>
          <w:t>22</w:t>
        </w:r>
        <w:r w:rsidR="00C64F60">
          <w:rPr>
            <w:noProof/>
            <w:webHidden/>
          </w:rPr>
          <w:fldChar w:fldCharType="end"/>
        </w:r>
      </w:hyperlink>
    </w:p>
    <w:p w14:paraId="31AB8993" w14:textId="66A3C78A" w:rsidR="00C64F60" w:rsidRDefault="00294807">
      <w:pPr>
        <w:pStyle w:val="TOC1"/>
        <w:rPr>
          <w:rFonts w:asciiTheme="minorHAnsi" w:eastAsiaTheme="minorEastAsia" w:hAnsiTheme="minorHAnsi"/>
          <w:b w:val="0"/>
          <w:noProof/>
          <w:sz w:val="22"/>
        </w:rPr>
      </w:pPr>
      <w:hyperlink w:anchor="_Toc80621822" w:history="1">
        <w:r w:rsidR="00C64F60" w:rsidRPr="00C97FE7">
          <w:rPr>
            <w:rStyle w:val="Hyperlink"/>
            <w:noProof/>
          </w:rPr>
          <w:t>8.</w:t>
        </w:r>
        <w:r w:rsidR="00C64F60">
          <w:rPr>
            <w:rFonts w:asciiTheme="minorHAnsi" w:eastAsiaTheme="minorEastAsia" w:hAnsiTheme="minorHAnsi"/>
            <w:b w:val="0"/>
            <w:noProof/>
            <w:sz w:val="22"/>
          </w:rPr>
          <w:tab/>
        </w:r>
        <w:r w:rsidR="00C64F60" w:rsidRPr="00C97FE7">
          <w:rPr>
            <w:rStyle w:val="Hyperlink"/>
            <w:noProof/>
          </w:rPr>
          <w:t>Compilation Troubleshooting</w:t>
        </w:r>
        <w:r w:rsidR="00C64F60">
          <w:rPr>
            <w:noProof/>
            <w:webHidden/>
          </w:rPr>
          <w:tab/>
        </w:r>
        <w:r w:rsidR="00C64F60">
          <w:rPr>
            <w:noProof/>
            <w:webHidden/>
          </w:rPr>
          <w:fldChar w:fldCharType="begin"/>
        </w:r>
        <w:r w:rsidR="00C64F60">
          <w:rPr>
            <w:noProof/>
            <w:webHidden/>
          </w:rPr>
          <w:instrText xml:space="preserve"> PAGEREF _Toc80621822 \h </w:instrText>
        </w:r>
        <w:r w:rsidR="00C64F60">
          <w:rPr>
            <w:noProof/>
            <w:webHidden/>
          </w:rPr>
        </w:r>
        <w:r w:rsidR="00C64F60">
          <w:rPr>
            <w:noProof/>
            <w:webHidden/>
          </w:rPr>
          <w:fldChar w:fldCharType="separate"/>
        </w:r>
        <w:r w:rsidR="00C64F60">
          <w:rPr>
            <w:noProof/>
            <w:webHidden/>
          </w:rPr>
          <w:t>23</w:t>
        </w:r>
        <w:r w:rsidR="00C64F60">
          <w:rPr>
            <w:noProof/>
            <w:webHidden/>
          </w:rPr>
          <w:fldChar w:fldCharType="end"/>
        </w:r>
      </w:hyperlink>
    </w:p>
    <w:p w14:paraId="41AE1524" w14:textId="1CC9A27F" w:rsidR="00A45D3D" w:rsidRPr="00DA7245" w:rsidRDefault="00897E78" w:rsidP="00827DFD">
      <w:pPr>
        <w:pStyle w:val="SAGEHeading1"/>
        <w:framePr w:wrap="around"/>
        <w:ind w:left="720" w:hanging="720"/>
      </w:pPr>
      <w:r>
        <w:lastRenderedPageBreak/>
        <w:fldChar w:fldCharType="end"/>
      </w:r>
      <w:bookmarkStart w:id="0" w:name="_Toc440376140"/>
      <w:bookmarkStart w:id="1" w:name="_Toc8062179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Pr="00BD5C6B" w:rsidRDefault="00FD50ED" w:rsidP="00BE49E2">
      <w:pPr>
        <w:pStyle w:val="SAGEBullet1"/>
        <w:numPr>
          <w:ilvl w:val="0"/>
          <w:numId w:val="36"/>
        </w:numPr>
        <w:rPr>
          <w:rStyle w:val="SAGETextBoldListItem"/>
        </w:rPr>
      </w:pPr>
      <w:r w:rsidRPr="00BD5C6B">
        <w:rPr>
          <w:rStyle w:val="SAGETextBoldListItem"/>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0621798"/>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0621799"/>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80621800"/>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0621801"/>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0621802"/>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0621803"/>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80621804"/>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80621805"/>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80621806"/>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0D1A24D7">
            <wp:extent cx="5853376" cy="512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5"/>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F835476" w14:textId="0FA2CE72" w:rsidR="0039760C" w:rsidRDefault="0039760C">
      <w:pPr>
        <w:spacing w:after="200" w:line="0" w:lineRule="auto"/>
        <w:rPr>
          <w:lang w:val="en-US"/>
        </w:rPr>
      </w:pPr>
      <w:r>
        <w:br w:type="page"/>
      </w:r>
    </w:p>
    <w:p w14:paraId="73D6AABA" w14:textId="4FAAD206" w:rsidR="002A0299" w:rsidRPr="00DB716D" w:rsidRDefault="0039760C" w:rsidP="0039760C">
      <w:pPr>
        <w:pStyle w:val="SAGEHeading2"/>
      </w:pPr>
      <w:bookmarkStart w:id="15" w:name="_Toc80621807"/>
      <w:r w:rsidRPr="00DB716D">
        <w:lastRenderedPageBreak/>
        <w:t xml:space="preserve">Step 6 – </w:t>
      </w:r>
      <w:r w:rsidR="00B9287D" w:rsidRPr="00DB716D">
        <w:t>Finder</w:t>
      </w:r>
      <w:r w:rsidRPr="00DB716D">
        <w:t xml:space="preserve"> </w:t>
      </w:r>
      <w:r w:rsidR="00DB716D">
        <w:t>Alterations</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0AA345EC">
            <wp:extent cx="5853380" cy="5128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44D1E350" w14:textId="610D74CD" w:rsidR="002770F7" w:rsidRPr="00BD5C6B" w:rsidRDefault="002770F7" w:rsidP="002770F7">
      <w:pPr>
        <w:pStyle w:val="SAGEBodyText"/>
      </w:pPr>
      <w:r>
        <w:t xml:space="preserve">This is simply an informational step. </w:t>
      </w:r>
      <w:r w:rsidRPr="00BD5C6B">
        <w:t xml:space="preserve">See </w:t>
      </w:r>
      <w:r w:rsidRPr="00BD5C6B">
        <w:rPr>
          <w:b/>
          <w:bCs/>
          <w:color w:val="FD34A9" w:themeColor="accent1" w:themeTint="99"/>
        </w:rPr>
        <w:t xml:space="preserve">Section </w:t>
      </w:r>
      <w:r w:rsidR="00F437FB" w:rsidRPr="00BD5C6B">
        <w:rPr>
          <w:b/>
          <w:bCs/>
          <w:color w:val="FD34A9" w:themeColor="accent1" w:themeTint="99"/>
        </w:rPr>
        <w:t>6</w:t>
      </w:r>
      <w:r w:rsidRPr="00BD5C6B">
        <w:rPr>
          <w:b/>
          <w:bCs/>
          <w:color w:val="FD34A9" w:themeColor="accent1" w:themeTint="99"/>
        </w:rPr>
        <w:t xml:space="preserve"> – </w:t>
      </w:r>
      <w:r w:rsidR="00B9287D" w:rsidRPr="00BD5C6B">
        <w:rPr>
          <w:b/>
          <w:bCs/>
          <w:color w:val="FD34A9" w:themeColor="accent1" w:themeTint="99"/>
        </w:rPr>
        <w:t>Finder</w:t>
      </w:r>
      <w:r w:rsidRPr="00BD5C6B">
        <w:rPr>
          <w:b/>
          <w:bCs/>
          <w:color w:val="FD34A9" w:themeColor="accent1" w:themeTint="99"/>
        </w:rPr>
        <w:t xml:space="preserve"> Alterations</w:t>
      </w:r>
      <w:r w:rsidRPr="00BD5C6B">
        <w:t xml:space="preserve"> 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80621808"/>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49476A">
        <w:t xml:space="preserve">See </w:t>
      </w:r>
      <w:r w:rsidRPr="0049476A">
        <w:rPr>
          <w:b/>
          <w:bCs/>
          <w:color w:val="FD34A9" w:themeColor="accent1" w:themeTint="99"/>
        </w:rPr>
        <w:t xml:space="preserve">Section 7 – Javascript Minification </w:t>
      </w:r>
      <w:r w:rsidR="00A60B2C" w:rsidRPr="0049476A">
        <w:rPr>
          <w:b/>
          <w:bCs/>
          <w:color w:val="FD34A9" w:themeColor="accent1" w:themeTint="99"/>
        </w:rPr>
        <w:t>Updates</w:t>
      </w:r>
      <w:r w:rsidRPr="0049476A">
        <w:t xml:space="preserve"> 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r>
        <w:t>ddddd</w:t>
      </w:r>
      <w:r>
        <w:br w:type="page"/>
      </w:r>
    </w:p>
    <w:p w14:paraId="170D5430" w14:textId="0CBFA3B6" w:rsidR="00F47D08" w:rsidRDefault="00F47D08" w:rsidP="00A015B6">
      <w:pPr>
        <w:pStyle w:val="SAGEHeading2"/>
        <w:numPr>
          <w:ilvl w:val="1"/>
          <w:numId w:val="35"/>
        </w:numPr>
        <w:ind w:left="734" w:hanging="734"/>
      </w:pPr>
      <w:bookmarkStart w:id="17" w:name="_Toc80621809"/>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80621810"/>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80621811"/>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0C9F9B0">
            <wp:extent cx="6036309" cy="471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4687" cy="4724853"/>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DB716D" w:rsidRDefault="0039760C" w:rsidP="00827DFD">
      <w:pPr>
        <w:pStyle w:val="SAGEHeading1"/>
        <w:framePr w:wrap="around"/>
        <w:ind w:left="720" w:hanging="720"/>
      </w:pPr>
      <w:bookmarkStart w:id="20" w:name="_Toc80621812"/>
      <w:r w:rsidRPr="00DB716D">
        <w:lastRenderedPageBreak/>
        <w:t>F</w:t>
      </w:r>
      <w:r w:rsidR="00B9287D" w:rsidRPr="00DB716D">
        <w:t>inder</w:t>
      </w:r>
      <w:r w:rsidRPr="00DB716D">
        <w:t xml:space="preserve"> Alterations</w:t>
      </w:r>
      <w:bookmarkEnd w:id="20"/>
    </w:p>
    <w:p w14:paraId="46957A1B" w14:textId="103AB576" w:rsidR="002F1E06" w:rsidRDefault="000C36AC" w:rsidP="000C36AC">
      <w:pPr>
        <w:pStyle w:val="SAGEHeading2"/>
      </w:pPr>
      <w:bookmarkStart w:id="21" w:name="_Toc80621813"/>
      <w:r>
        <w:t>Overview</w:t>
      </w:r>
      <w:bookmarkEnd w:id="21"/>
    </w:p>
    <w:p w14:paraId="37502C2F" w14:textId="25A973F6" w:rsidR="000C36AC" w:rsidRDefault="000C36AC" w:rsidP="000C36AC">
      <w:pPr>
        <w:pStyle w:val="SAGEBodyText"/>
      </w:pPr>
      <w:r>
        <w:t xml:space="preserve">When the web screens were </w:t>
      </w:r>
      <w:r w:rsidR="00734264">
        <w:t xml:space="preserve">originally </w:t>
      </w:r>
      <w:r>
        <w:t xml:space="preserve">developed, a web finder was implemented that was different from the desktop finder for </w:t>
      </w:r>
      <w:r w:rsidR="00734264">
        <w:t>various</w:t>
      </w:r>
      <w:r>
        <w:t xml:space="preserve"> reasons. This “original” implementation had numerous issues; such as, </w:t>
      </w:r>
      <w:r w:rsidR="00734264">
        <w:t>it</w:t>
      </w:r>
      <w:r>
        <w:t xml:space="preserve"> contained too much code, there was too much redundant and complex code, customization and dynamic creation were difficult</w:t>
      </w:r>
      <w:r w:rsidR="00734264">
        <w:t xml:space="preserve"> or not possible</w:t>
      </w:r>
      <w:r>
        <w:t>.</w:t>
      </w:r>
    </w:p>
    <w:p w14:paraId="00F107F0" w14:textId="2CCB0F6E" w:rsidR="000C36AC" w:rsidRDefault="000C36AC" w:rsidP="000C36AC">
      <w:pPr>
        <w:pStyle w:val="SAGEBodyText"/>
      </w:pPr>
      <w:r>
        <w:t xml:space="preserve">A few releases back, the screens introduced a new and improved web finder that reduced </w:t>
      </w:r>
      <w:r w:rsidR="00734264">
        <w:t>t</w:t>
      </w:r>
      <w:r>
        <w:t>he amount of code required to configure a finder, interacted directly with the Accpac view (for performance and simplicity), and even allowed for dynamic creation. While this “new” finder has co-existed for several releases with the old finder, the release of Sage 300 2022 introduced significant improvements to th</w:t>
      </w:r>
      <w:r w:rsidR="00734264">
        <w:t xml:space="preserve">is </w:t>
      </w:r>
      <w:r>
        <w:t>web finder that were not made in the “original” web finder.</w:t>
      </w:r>
    </w:p>
    <w:p w14:paraId="2387F684" w14:textId="14EC806B" w:rsidR="000C36AC" w:rsidRDefault="00734264" w:rsidP="000C36AC">
      <w:pPr>
        <w:pStyle w:val="SAGEBodyText"/>
      </w:pPr>
      <w:r>
        <w:t>For consistency the “original” web finder framework has been removed from the application and all “original” web finders have been replaced with new web finders. This effort constituted two-phases for Sage 300 web screens in 2022:</w:t>
      </w:r>
    </w:p>
    <w:p w14:paraId="2B43130B" w14:textId="17E4641E" w:rsidR="00734264" w:rsidRDefault="00734264" w:rsidP="00734264">
      <w:pPr>
        <w:pStyle w:val="SAGEBodyText"/>
        <w:numPr>
          <w:ilvl w:val="0"/>
          <w:numId w:val="41"/>
        </w:numPr>
      </w:pPr>
      <w:r>
        <w:t>Replace the finder implementation per screen</w:t>
      </w:r>
    </w:p>
    <w:p w14:paraId="2FE18F5E" w14:textId="2B99A8FA" w:rsidR="00734264" w:rsidRDefault="00734264" w:rsidP="00734264">
      <w:pPr>
        <w:pStyle w:val="SAGEBodyText"/>
        <w:numPr>
          <w:ilvl w:val="0"/>
          <w:numId w:val="41"/>
        </w:numPr>
      </w:pPr>
      <w:r>
        <w:t>Deprecate and remove the old finder definitions</w:t>
      </w:r>
      <w:r w:rsidR="00132466">
        <w:t xml:space="preserve"> and registrations</w:t>
      </w:r>
    </w:p>
    <w:p w14:paraId="278E02DA" w14:textId="09B1BB46" w:rsidR="00734264" w:rsidRDefault="00734264" w:rsidP="000C36AC">
      <w:pPr>
        <w:pStyle w:val="SAGEBodyText"/>
      </w:pPr>
      <w:r>
        <w:t>This section will document the steps required to replace a finder in a screen and for “original” partner created finders to be removed.</w:t>
      </w:r>
    </w:p>
    <w:p w14:paraId="55D4725D" w14:textId="12016C93" w:rsidR="00734264" w:rsidRDefault="00734264" w:rsidP="00734264">
      <w:pPr>
        <w:pStyle w:val="SAGEHeading2"/>
      </w:pPr>
      <w:bookmarkStart w:id="22" w:name="_Toc80621814"/>
      <w:r>
        <w:t>Finder Architecture</w:t>
      </w:r>
      <w:bookmarkEnd w:id="22"/>
    </w:p>
    <w:p w14:paraId="026A1A48" w14:textId="7DEB1577" w:rsidR="00734264" w:rsidRDefault="00734264" w:rsidP="00734264">
      <w:pPr>
        <w:pStyle w:val="SAGEBodyText"/>
      </w:pPr>
      <w:r>
        <w:t xml:space="preserve">In the Web SDK in the docs/development folder, the </w:t>
      </w:r>
      <w:r w:rsidRPr="00506422">
        <w:rPr>
          <w:b/>
          <w:bCs/>
        </w:rPr>
        <w:t>Sage300SDK_FinderArchitecture</w:t>
      </w:r>
      <w:r>
        <w:t xml:space="preserve"> document </w:t>
      </w:r>
      <w:r w:rsidR="00506422">
        <w:t xml:space="preserve">shows the “original” interface, </w:t>
      </w:r>
      <w:r>
        <w:t xml:space="preserve">explains the </w:t>
      </w:r>
      <w:r w:rsidR="00506422">
        <w:t>“new” interface, finder configurations, and provides some examples of the new implementation. Please refer to this document.</w:t>
      </w:r>
    </w:p>
    <w:p w14:paraId="31CBA210" w14:textId="7EDF8307" w:rsidR="00506422" w:rsidRDefault="00506422" w:rsidP="00506422">
      <w:pPr>
        <w:pStyle w:val="SAGEHeading2"/>
      </w:pPr>
      <w:bookmarkStart w:id="23" w:name="_Toc80621815"/>
      <w:r>
        <w:t>Screen Implementations</w:t>
      </w:r>
      <w:bookmarkEnd w:id="23"/>
    </w:p>
    <w:p w14:paraId="5FB084F6" w14:textId="2A8FDE83" w:rsidR="00506422" w:rsidRDefault="00506422" w:rsidP="00506422">
      <w:pPr>
        <w:pStyle w:val="SAGEBodyText"/>
      </w:pPr>
      <w:r>
        <w:t xml:space="preserve">As noted </w:t>
      </w:r>
      <w:r w:rsidR="001654CA">
        <w:t>i</w:t>
      </w:r>
      <w:r>
        <w:t>n section 6.2, please refer to the finder document for the finder interface and examples.</w:t>
      </w:r>
    </w:p>
    <w:p w14:paraId="4C3766AD" w14:textId="4BD46F8D" w:rsidR="00506422" w:rsidRDefault="00506422" w:rsidP="00506422">
      <w:pPr>
        <w:pStyle w:val="SAGEBodyText"/>
      </w:pPr>
      <w:r>
        <w:t>If a Sage 300 “original” finder was being invoked (i.e.</w:t>
      </w:r>
      <w:r w:rsidR="000465BD">
        <w:t>,</w:t>
      </w:r>
      <w:r>
        <w:t xml:space="preserve"> sg.setFinder…) in a partner screen, this Sage 300 finder no longer exists as it has been removed along with the finder framework that supported it. The “new” definition resides in the ViewFinderProperties.js file. </w:t>
      </w:r>
      <w:r w:rsidR="000465BD">
        <w:t>Here are a couple examples of new finder implementations that invoke a finder based upon a definition in the ViewFinderProperties.js file:</w:t>
      </w:r>
    </w:p>
    <w:p w14:paraId="2BC17A3A" w14:textId="77777777" w:rsidR="000465BD" w:rsidRDefault="000465BD" w:rsidP="00506422">
      <w:pPr>
        <w:pStyle w:val="SAGEBodyText"/>
      </w:pPr>
    </w:p>
    <w:p w14:paraId="0F20EBBE" w14:textId="77777777" w:rsidR="000465BD" w:rsidRPr="000465BD" w:rsidRDefault="000465BD" w:rsidP="000465BD">
      <w:pPr>
        <w:pStyle w:val="ListParagraph"/>
        <w:numPr>
          <w:ilvl w:val="0"/>
          <w:numId w:val="42"/>
        </w:numPr>
        <w:autoSpaceDE w:val="0"/>
        <w:autoSpaceDN w:val="0"/>
        <w:spacing w:line="240" w:lineRule="auto"/>
        <w:contextualSpacing w:val="0"/>
        <w:rPr>
          <w:rFonts w:ascii="Consolas" w:eastAsia="Times New Roman" w:hAnsi="Consolas"/>
          <w:color w:val="000000"/>
          <w:sz w:val="16"/>
          <w:szCs w:val="16"/>
        </w:rPr>
      </w:pPr>
      <w:r w:rsidRPr="000465BD">
        <w:rPr>
          <w:rFonts w:ascii="Consolas" w:eastAsia="Times New Roman" w:hAnsi="Consolas"/>
          <w:color w:val="000000"/>
          <w:sz w:val="16"/>
          <w:szCs w:val="16"/>
        </w:rPr>
        <w:t>sg.viewFinderHelper.setViewFinderEx(</w:t>
      </w:r>
      <w:r w:rsidRPr="000465BD">
        <w:rPr>
          <w:rFonts w:ascii="Consolas" w:eastAsia="Times New Roman" w:hAnsi="Consolas"/>
          <w:color w:val="A31515"/>
          <w:sz w:val="16"/>
          <w:szCs w:val="16"/>
        </w:rPr>
        <w:t>"btnFindVendorNumber"</w:t>
      </w:r>
      <w:r w:rsidRPr="000465BD">
        <w:rPr>
          <w:rFonts w:ascii="Consolas" w:eastAsia="Times New Roman" w:hAnsi="Consolas"/>
          <w:color w:val="000000"/>
          <w:sz w:val="16"/>
          <w:szCs w:val="16"/>
        </w:rPr>
        <w:t xml:space="preserve">, </w:t>
      </w:r>
      <w:r w:rsidRPr="000465BD">
        <w:rPr>
          <w:rFonts w:ascii="Consolas" w:eastAsia="Times New Roman" w:hAnsi="Consolas"/>
          <w:color w:val="A31515"/>
          <w:sz w:val="16"/>
          <w:szCs w:val="16"/>
        </w:rPr>
        <w:t>"Data_VendorNumber"</w:t>
      </w:r>
      <w:r w:rsidRPr="000465BD">
        <w:rPr>
          <w:rFonts w:ascii="Consolas" w:eastAsia="Times New Roman" w:hAnsi="Consolas"/>
          <w:color w:val="000000"/>
          <w:sz w:val="16"/>
          <w:szCs w:val="16"/>
        </w:rPr>
        <w:t>,</w:t>
      </w:r>
    </w:p>
    <w:p w14:paraId="7D008CD8" w14:textId="77777777" w:rsidR="000465BD" w:rsidRPr="000465BD" w:rsidRDefault="000465BD" w:rsidP="000465BD">
      <w:pPr>
        <w:rPr>
          <w:rFonts w:ascii="Consolas" w:eastAsiaTheme="minorHAnsi" w:hAnsi="Consolas"/>
          <w:color w:val="000000"/>
          <w:sz w:val="16"/>
          <w:szCs w:val="16"/>
        </w:rPr>
      </w:pPr>
      <w:r w:rsidRPr="000465BD">
        <w:rPr>
          <w:rFonts w:ascii="Consolas" w:hAnsi="Consolas"/>
          <w:color w:val="000000"/>
          <w:sz w:val="16"/>
          <w:szCs w:val="16"/>
        </w:rPr>
        <w:lastRenderedPageBreak/>
        <w:t>           </w:t>
      </w:r>
      <w:r w:rsidRPr="000465BD">
        <w:rPr>
          <w:rFonts w:ascii="Consolas" w:hAnsi="Consolas"/>
          <w:color w:val="000000"/>
          <w:sz w:val="16"/>
          <w:szCs w:val="16"/>
          <w:highlight w:val="yellow"/>
        </w:rPr>
        <w:t>sg.viewFinderProperties.AP.APVendor</w:t>
      </w:r>
      <w:r w:rsidRPr="000465BD">
        <w:rPr>
          <w:rFonts w:ascii="Consolas" w:hAnsi="Consolas"/>
          <w:color w:val="000000"/>
          <w:sz w:val="16"/>
          <w:szCs w:val="16"/>
        </w:rPr>
        <w:t>, onFinderSuccess.VendorNumberFinder, $.noop);</w:t>
      </w:r>
    </w:p>
    <w:p w14:paraId="19283CD9" w14:textId="77777777" w:rsidR="000465BD" w:rsidRPr="000465BD" w:rsidRDefault="000465BD" w:rsidP="000465BD">
      <w:pPr>
        <w:rPr>
          <w:rFonts w:ascii="Consolas" w:hAnsi="Consolas"/>
          <w:color w:val="000000"/>
          <w:sz w:val="16"/>
          <w:szCs w:val="16"/>
        </w:rPr>
      </w:pPr>
    </w:p>
    <w:p w14:paraId="37B30668" w14:textId="77777777" w:rsidR="000465BD" w:rsidRPr="000465BD" w:rsidRDefault="000465BD" w:rsidP="000465BD">
      <w:pPr>
        <w:pStyle w:val="ListParagraph"/>
        <w:numPr>
          <w:ilvl w:val="0"/>
          <w:numId w:val="42"/>
        </w:numPr>
        <w:autoSpaceDE w:val="0"/>
        <w:autoSpaceDN w:val="0"/>
        <w:spacing w:line="240" w:lineRule="auto"/>
        <w:contextualSpacing w:val="0"/>
        <w:rPr>
          <w:rFonts w:ascii="Consolas" w:eastAsia="Times New Roman" w:hAnsi="Consolas"/>
          <w:color w:val="000000"/>
          <w:sz w:val="16"/>
          <w:szCs w:val="16"/>
        </w:rPr>
      </w:pPr>
      <w:r w:rsidRPr="000465BD">
        <w:rPr>
          <w:rFonts w:ascii="Consolas" w:eastAsia="Times New Roman" w:hAnsi="Consolas"/>
          <w:color w:val="0000FF"/>
          <w:sz w:val="16"/>
          <w:szCs w:val="16"/>
        </w:rPr>
        <w:t>const</w:t>
      </w:r>
      <w:r w:rsidRPr="000465BD">
        <w:rPr>
          <w:rFonts w:ascii="Consolas" w:eastAsia="Times New Roman" w:hAnsi="Consolas"/>
          <w:color w:val="000000"/>
          <w:sz w:val="16"/>
          <w:szCs w:val="16"/>
        </w:rPr>
        <w:t xml:space="preserve"> taxClassesFinderInfo = () =&gt; {</w:t>
      </w:r>
    </w:p>
    <w:p w14:paraId="6A0998BF" w14:textId="77777777" w:rsidR="000465BD" w:rsidRPr="000465BD" w:rsidRDefault="000465BD" w:rsidP="000465BD">
      <w:pPr>
        <w:autoSpaceDE w:val="0"/>
        <w:autoSpaceDN w:val="0"/>
        <w:rPr>
          <w:rFonts w:ascii="Consolas" w:eastAsiaTheme="minorHAnsi" w:hAnsi="Consolas"/>
          <w:color w:val="000000"/>
          <w:sz w:val="16"/>
          <w:szCs w:val="16"/>
        </w:rPr>
      </w:pPr>
      <w:r w:rsidRPr="000465BD">
        <w:rPr>
          <w:rFonts w:ascii="Consolas" w:hAnsi="Consolas"/>
          <w:color w:val="000000"/>
          <w:sz w:val="16"/>
          <w:szCs w:val="16"/>
        </w:rPr>
        <w:t>           </w:t>
      </w:r>
      <w:r w:rsidRPr="000465BD">
        <w:rPr>
          <w:rFonts w:ascii="Consolas" w:hAnsi="Consolas"/>
          <w:color w:val="0000FF"/>
          <w:sz w:val="16"/>
          <w:szCs w:val="16"/>
        </w:rPr>
        <w:t>const</w:t>
      </w:r>
      <w:r w:rsidRPr="000465BD">
        <w:rPr>
          <w:rFonts w:ascii="Consolas" w:hAnsi="Consolas"/>
          <w:color w:val="000000"/>
          <w:sz w:val="16"/>
          <w:szCs w:val="16"/>
        </w:rPr>
        <w:t xml:space="preserve"> property = sg.utls.deepCopy(</w:t>
      </w:r>
      <w:r w:rsidRPr="000465BD">
        <w:rPr>
          <w:rFonts w:ascii="Consolas" w:hAnsi="Consolas"/>
          <w:color w:val="000000"/>
          <w:sz w:val="16"/>
          <w:szCs w:val="16"/>
          <w:highlight w:val="yellow"/>
        </w:rPr>
        <w:t>sg.viewFinderProperties.TX.TaxClasses</w:t>
      </w:r>
      <w:r w:rsidRPr="000465BD">
        <w:rPr>
          <w:rFonts w:ascii="Consolas" w:hAnsi="Consolas"/>
          <w:color w:val="000000"/>
          <w:sz w:val="16"/>
          <w:szCs w:val="16"/>
        </w:rPr>
        <w:t>);</w:t>
      </w:r>
    </w:p>
    <w:p w14:paraId="0D35D6D8"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selectedRowData = sg.utls.kndoUI.getSelectedRowData(vendorGridUtility.fetchTaxAuthorityGrid());</w:t>
      </w:r>
    </w:p>
    <w:p w14:paraId="657FCED2" w14:textId="77777777" w:rsidR="000465BD" w:rsidRPr="000465BD" w:rsidRDefault="000465BD" w:rsidP="000465BD">
      <w:pPr>
        <w:autoSpaceDE w:val="0"/>
        <w:autoSpaceDN w:val="0"/>
        <w:rPr>
          <w:rFonts w:ascii="Consolas" w:hAnsi="Consolas"/>
          <w:color w:val="000000"/>
          <w:sz w:val="16"/>
          <w:szCs w:val="16"/>
        </w:rPr>
      </w:pPr>
    </w:p>
    <w:p w14:paraId="732E2A86"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authority = selectedRowData.TaxAuthority;</w:t>
      </w:r>
    </w:p>
    <w:p w14:paraId="4D224785"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classType = 2;</w:t>
      </w:r>
    </w:p>
    <w:p w14:paraId="371EA870"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const</w:t>
      </w:r>
      <w:r w:rsidRPr="000465BD">
        <w:rPr>
          <w:rFonts w:ascii="Consolas" w:hAnsi="Consolas"/>
          <w:color w:val="000000"/>
          <w:sz w:val="16"/>
          <w:szCs w:val="16"/>
        </w:rPr>
        <w:t xml:space="preserve"> classAxis = 1;</w:t>
      </w:r>
    </w:p>
    <w:p w14:paraId="2E30927A" w14:textId="77777777" w:rsidR="000465BD" w:rsidRPr="000465BD" w:rsidRDefault="000465BD" w:rsidP="000465BD">
      <w:pPr>
        <w:autoSpaceDE w:val="0"/>
        <w:autoSpaceDN w:val="0"/>
        <w:rPr>
          <w:rFonts w:ascii="Consolas" w:hAnsi="Consolas"/>
          <w:color w:val="000000"/>
          <w:sz w:val="16"/>
          <w:szCs w:val="16"/>
        </w:rPr>
      </w:pPr>
    </w:p>
    <w:p w14:paraId="1870183B"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property.initKeyValues = [authority, classType, classAxis, selectedRowData.TaxClass];</w:t>
      </w:r>
    </w:p>
    <w:p w14:paraId="1F5E54F8" w14:textId="545537D0"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property.filter = $.validator.format(property[</w:t>
      </w:r>
      <w:r w:rsidRPr="000465BD">
        <w:rPr>
          <w:rFonts w:ascii="Consolas" w:hAnsi="Consolas"/>
          <w:color w:val="A31515"/>
          <w:sz w:val="16"/>
          <w:szCs w:val="16"/>
        </w:rPr>
        <w:t>"filterTemplate"</w:t>
      </w:r>
      <w:r w:rsidRPr="000465BD">
        <w:rPr>
          <w:rFonts w:ascii="Consolas" w:hAnsi="Consolas"/>
          <w:color w:val="000000"/>
          <w:sz w:val="16"/>
          <w:szCs w:val="16"/>
        </w:rPr>
        <w:t>], authority, classType, classAxis);</w:t>
      </w:r>
    </w:p>
    <w:p w14:paraId="00EE7727"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xml:space="preserve">            </w:t>
      </w:r>
      <w:r w:rsidRPr="000465BD">
        <w:rPr>
          <w:rFonts w:ascii="Consolas" w:hAnsi="Consolas"/>
          <w:color w:val="0000FF"/>
          <w:sz w:val="16"/>
          <w:szCs w:val="16"/>
        </w:rPr>
        <w:t>return</w:t>
      </w:r>
      <w:r w:rsidRPr="000465BD">
        <w:rPr>
          <w:rFonts w:ascii="Consolas" w:hAnsi="Consolas"/>
          <w:color w:val="000000"/>
          <w:sz w:val="16"/>
          <w:szCs w:val="16"/>
        </w:rPr>
        <w:t xml:space="preserve"> property;</w:t>
      </w:r>
    </w:p>
    <w:p w14:paraId="575DCA77"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w:t>
      </w:r>
    </w:p>
    <w:p w14:paraId="442D1305"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sg.viewFinderHelper.setViewFinder(</w:t>
      </w:r>
      <w:r w:rsidRPr="000465BD">
        <w:rPr>
          <w:rFonts w:ascii="Consolas" w:hAnsi="Consolas"/>
          <w:color w:val="A31515"/>
          <w:sz w:val="16"/>
          <w:szCs w:val="16"/>
        </w:rPr>
        <w:t>"btntaxclassfield"</w:t>
      </w:r>
      <w:r w:rsidRPr="000465BD">
        <w:rPr>
          <w:rFonts w:ascii="Consolas" w:hAnsi="Consolas"/>
          <w:color w:val="000000"/>
          <w:sz w:val="16"/>
          <w:szCs w:val="16"/>
        </w:rPr>
        <w:t>, onFinderSuccess.OnTaxClassSelection,</w:t>
      </w:r>
    </w:p>
    <w:p w14:paraId="103F7951" w14:textId="77777777" w:rsidR="000465BD" w:rsidRPr="000465BD" w:rsidRDefault="000465BD" w:rsidP="000465BD">
      <w:pPr>
        <w:autoSpaceDE w:val="0"/>
        <w:autoSpaceDN w:val="0"/>
        <w:rPr>
          <w:rFonts w:ascii="Consolas" w:hAnsi="Consolas"/>
          <w:color w:val="000000"/>
          <w:sz w:val="16"/>
          <w:szCs w:val="16"/>
        </w:rPr>
      </w:pPr>
      <w:r w:rsidRPr="000465BD">
        <w:rPr>
          <w:rFonts w:ascii="Consolas" w:hAnsi="Consolas"/>
          <w:color w:val="000000"/>
          <w:sz w:val="16"/>
          <w:szCs w:val="16"/>
        </w:rPr>
        <w:t>            taxClassesFinderInfo, onFinderCancel.onTaxClassCancel);</w:t>
      </w:r>
    </w:p>
    <w:p w14:paraId="2EA9C723" w14:textId="2B751D3C" w:rsidR="000465BD" w:rsidRDefault="000465BD" w:rsidP="00506422">
      <w:pPr>
        <w:pStyle w:val="SAGEBodyText"/>
      </w:pPr>
    </w:p>
    <w:p w14:paraId="39B93F37" w14:textId="77777777" w:rsidR="001654CA" w:rsidRDefault="000465BD" w:rsidP="00506422">
      <w:pPr>
        <w:pStyle w:val="SAGEBodyText"/>
      </w:pPr>
      <w:r>
        <w:t xml:space="preserve">You will need to revise your </w:t>
      </w:r>
      <w:r w:rsidRPr="000465BD">
        <w:rPr>
          <w:i/>
          <w:iCs/>
        </w:rPr>
        <w:t>initFinder</w:t>
      </w:r>
      <w:r>
        <w:t xml:space="preserve">(), </w:t>
      </w:r>
      <w:r w:rsidRPr="000465BD">
        <w:rPr>
          <w:i/>
          <w:iCs/>
        </w:rPr>
        <w:t>setFilter</w:t>
      </w:r>
      <w:r>
        <w:t xml:space="preserve">(), and call back routines in the screen’s …Behvaiour.js file to not only invoke the new finder but also to support the new behavior since the new finder’s are bound to the finder widget and interact directly with the widget. </w:t>
      </w:r>
    </w:p>
    <w:p w14:paraId="46EF45A9" w14:textId="67E0E4DF" w:rsidR="000465BD" w:rsidRDefault="000465BD" w:rsidP="00506422">
      <w:pPr>
        <w:pStyle w:val="SAGEBodyText"/>
      </w:pPr>
      <w:r>
        <w:t xml:space="preserve">Please also refer to the samples in the Web SDK </w:t>
      </w:r>
      <w:r w:rsidR="008E225C">
        <w:t xml:space="preserve">as examples </w:t>
      </w:r>
      <w:r>
        <w:t>as their finders have been replaced with new finders.</w:t>
      </w:r>
    </w:p>
    <w:p w14:paraId="79946041" w14:textId="5C5B226D" w:rsidR="000465BD" w:rsidRDefault="009B6E06" w:rsidP="00506422">
      <w:pPr>
        <w:pStyle w:val="SAGEBodyText"/>
      </w:pPr>
      <w:r>
        <w:t>If you are a partner or ISV that has created a module/application and your screens are invoking your finders, the new configurations must be created first in your version of ViewFinderProperties.js. A new Wizard has been created for 2022 called the Finder Definition Generator</w:t>
      </w:r>
      <w:r w:rsidR="008E225C">
        <w:t xml:space="preserve"> (available in Visual Studio as a plugin (part of the </w:t>
      </w:r>
      <w:r w:rsidR="001654CA" w:rsidRPr="001654CA">
        <w:rPr>
          <w:i/>
          <w:iCs/>
        </w:rPr>
        <w:t>S</w:t>
      </w:r>
      <w:r w:rsidR="008E225C" w:rsidRPr="001654CA">
        <w:rPr>
          <w:i/>
          <w:iCs/>
        </w:rPr>
        <w:t>age300UIWizardPackage.vsix</w:t>
      </w:r>
      <w:r w:rsidR="008E225C">
        <w:t>))</w:t>
      </w:r>
      <w:r>
        <w:t xml:space="preserve"> that allows finder definitions to be created. Please see the Finder Definition Generator </w:t>
      </w:r>
      <w:r w:rsidR="001654CA">
        <w:t>Document</w:t>
      </w:r>
      <w:r>
        <w:t xml:space="preserve"> in the Web SDK in the docs/wizards folder.</w:t>
      </w:r>
    </w:p>
    <w:p w14:paraId="427525B4" w14:textId="5FADA2E2" w:rsidR="009B6E06" w:rsidRDefault="009B6E06" w:rsidP="009B6E06">
      <w:pPr>
        <w:pStyle w:val="SAGEAdmonitionWarning"/>
      </w:pPr>
      <w:r>
        <w:t>When creating the partner finder definition, please reference your finder defined in the Controller/Finder folder of your web project for the configured columns. The finder controllers will be removed in the next section.</w:t>
      </w:r>
    </w:p>
    <w:p w14:paraId="1B164840" w14:textId="55FF77D0" w:rsidR="009B6E06" w:rsidRDefault="008E225C" w:rsidP="008E225C">
      <w:pPr>
        <w:pStyle w:val="SAGEHeading3"/>
      </w:pPr>
      <w:bookmarkStart w:id="24" w:name="_Toc80621816"/>
      <w:r>
        <w:t>Screen Implementation Steps</w:t>
      </w:r>
      <w:r w:rsidR="001654CA">
        <w:t xml:space="preserve"> (summary)</w:t>
      </w:r>
      <w:bookmarkEnd w:id="24"/>
    </w:p>
    <w:p w14:paraId="4FA2A4CC" w14:textId="616476DC" w:rsidR="008E225C" w:rsidRDefault="00C43BF3" w:rsidP="008E225C">
      <w:pPr>
        <w:pStyle w:val="SAGEBullet2"/>
      </w:pPr>
      <w:r>
        <w:t>Replace any Sage 300 Finder (AR, AP, GL, etc.) invocation with code that invokes the new Sage 300 Finder based upon sg.viewFinderProperties.{</w:t>
      </w:r>
      <w:r w:rsidRPr="00C43BF3">
        <w:rPr>
          <w:i/>
          <w:iCs/>
        </w:rPr>
        <w:t>module</w:t>
      </w:r>
      <w:r>
        <w:t>}.{</w:t>
      </w:r>
      <w:r w:rsidRPr="00C43BF3">
        <w:rPr>
          <w:i/>
          <w:iCs/>
        </w:rPr>
        <w:t>name</w:t>
      </w:r>
      <w:r>
        <w:t>} configuration</w:t>
      </w:r>
    </w:p>
    <w:p w14:paraId="6630D00E" w14:textId="1298268D" w:rsidR="00C43BF3" w:rsidRDefault="00C43BF3" w:rsidP="00C43BF3">
      <w:pPr>
        <w:pStyle w:val="SAGEBullet2"/>
        <w:numPr>
          <w:ilvl w:val="1"/>
          <w:numId w:val="19"/>
        </w:numPr>
      </w:pPr>
      <w:r>
        <w:t>See samples in the Web SDK for examples</w:t>
      </w:r>
    </w:p>
    <w:p w14:paraId="720B9AD4" w14:textId="38CF00F8" w:rsidR="00C43BF3" w:rsidRDefault="00C43BF3" w:rsidP="00C43BF3">
      <w:pPr>
        <w:pStyle w:val="SAGEBullet2"/>
      </w:pPr>
      <w:r>
        <w:t>For partner created finders:</w:t>
      </w:r>
    </w:p>
    <w:p w14:paraId="7864F2FF" w14:textId="3758259E" w:rsidR="00C43BF3" w:rsidRDefault="00C43BF3" w:rsidP="00C43BF3">
      <w:pPr>
        <w:pStyle w:val="SAGEBullet2"/>
        <w:numPr>
          <w:ilvl w:val="1"/>
          <w:numId w:val="19"/>
        </w:numPr>
      </w:pPr>
      <w:r>
        <w:t>Invoke the Finder Definition Generator in Visual Studio to create a finder definition</w:t>
      </w:r>
    </w:p>
    <w:p w14:paraId="4BA7ECA0" w14:textId="6831DE1D" w:rsidR="00C43BF3" w:rsidRDefault="00C43BF3" w:rsidP="00C43BF3">
      <w:pPr>
        <w:pStyle w:val="SAGEBullet2"/>
        <w:numPr>
          <w:ilvl w:val="1"/>
          <w:numId w:val="19"/>
        </w:numPr>
      </w:pPr>
      <w:r>
        <w:t>This utility will add the definition to your version of ViewFinderProperties.js</w:t>
      </w:r>
    </w:p>
    <w:p w14:paraId="5C22FAEA" w14:textId="28E1502D" w:rsidR="00C43BF3" w:rsidRDefault="00C43BF3" w:rsidP="00C43BF3">
      <w:pPr>
        <w:pStyle w:val="SAGEBullet2"/>
        <w:numPr>
          <w:ilvl w:val="1"/>
          <w:numId w:val="19"/>
        </w:numPr>
      </w:pPr>
      <w:r>
        <w:lastRenderedPageBreak/>
        <w:t xml:space="preserve">Your version of ViewFinderProperties.js will be required to be added to the JavaScript bundle for your screen in the </w:t>
      </w:r>
      <w:r w:rsidRPr="009132B4">
        <w:rPr>
          <w:i/>
          <w:iCs/>
        </w:rPr>
        <w:t>BundleRegistration</w:t>
      </w:r>
      <w:r>
        <w:t>.cs file of your web project</w:t>
      </w:r>
    </w:p>
    <w:p w14:paraId="66CD990D" w14:textId="6AA4AA20" w:rsidR="00C43BF3" w:rsidRDefault="00C43BF3" w:rsidP="00C43BF3">
      <w:pPr>
        <w:pStyle w:val="SAGEBullet2"/>
        <w:numPr>
          <w:ilvl w:val="1"/>
          <w:numId w:val="19"/>
        </w:numPr>
      </w:pPr>
      <w:r>
        <w:t>Replace any partner finder invocation with code that invokes the new partner finder based upon the newly created configuration in your version of ViewFinderProperties.js</w:t>
      </w:r>
    </w:p>
    <w:p w14:paraId="598730E7" w14:textId="79F4152F" w:rsidR="00906FBF" w:rsidRDefault="009132B4" w:rsidP="00906FBF">
      <w:pPr>
        <w:pStyle w:val="SAGEHeading2"/>
      </w:pPr>
      <w:bookmarkStart w:id="25" w:name="_Toc80621817"/>
      <w:r>
        <w:t>Removal of Old Finders</w:t>
      </w:r>
      <w:bookmarkEnd w:id="25"/>
    </w:p>
    <w:p w14:paraId="71E634C9" w14:textId="04E4AA69" w:rsidR="00906FBF" w:rsidRDefault="009132B4" w:rsidP="009132B4">
      <w:pPr>
        <w:pStyle w:val="SAGEBullet2"/>
        <w:numPr>
          <w:ilvl w:val="0"/>
          <w:numId w:val="0"/>
        </w:numPr>
      </w:pPr>
      <w:r>
        <w:t xml:space="preserve">Sage 300 release 2022 has removed all the “original” finder framework, all the Sage 300 module finders, and all the finder bootstrapper entries. </w:t>
      </w:r>
    </w:p>
    <w:p w14:paraId="69E67DE8" w14:textId="56B5D7DF" w:rsidR="009132B4" w:rsidRDefault="009132B4" w:rsidP="009132B4">
      <w:pPr>
        <w:pStyle w:val="SAGEBullet2"/>
        <w:numPr>
          <w:ilvl w:val="0"/>
          <w:numId w:val="0"/>
        </w:numPr>
      </w:pPr>
      <w:r>
        <w:t>The Upgrade Wizard for 2022 has modified the partner solution to remove the “original” finder framework components from the partner solution/web project.</w:t>
      </w:r>
    </w:p>
    <w:p w14:paraId="19276E51" w14:textId="5D414D8C" w:rsidR="009132B4" w:rsidRDefault="009132B4" w:rsidP="009132B4">
      <w:pPr>
        <w:pStyle w:val="SAGEBullet2"/>
        <w:numPr>
          <w:ilvl w:val="0"/>
          <w:numId w:val="0"/>
        </w:numPr>
      </w:pPr>
      <w:r>
        <w:t>The section will explain the files and bootstrapper entries that now must be deleted for the application to compile and run successful</w:t>
      </w:r>
      <w:r w:rsidR="001654CA">
        <w:t>ly</w:t>
      </w:r>
      <w:r>
        <w:t>.</w:t>
      </w:r>
    </w:p>
    <w:p w14:paraId="6A27A50B" w14:textId="7F20C6AD" w:rsidR="009132B4" w:rsidRDefault="009132B4" w:rsidP="009132B4">
      <w:pPr>
        <w:pStyle w:val="SAGEHeading3"/>
      </w:pPr>
      <w:bookmarkStart w:id="26" w:name="_Toc80621818"/>
      <w:r>
        <w:t>Finder Controllers</w:t>
      </w:r>
      <w:bookmarkEnd w:id="26"/>
    </w:p>
    <w:p w14:paraId="591F2727" w14:textId="3728E8AF" w:rsidR="009132B4" w:rsidRDefault="009132B4" w:rsidP="009132B4">
      <w:pPr>
        <w:pStyle w:val="SAGEBullet2"/>
        <w:numPr>
          <w:ilvl w:val="0"/>
          <w:numId w:val="0"/>
        </w:numPr>
      </w:pPr>
      <w:r>
        <w:t>In your web project, you will see the “Finder” folder under your “Areas/{</w:t>
      </w:r>
      <w:r w:rsidRPr="009132B4">
        <w:rPr>
          <w:i/>
          <w:iCs/>
        </w:rPr>
        <w:t>module</w:t>
      </w:r>
      <w:r>
        <w:t xml:space="preserve">}/Controllers folder. This folder contains the files for the “original” finder definitions (i.e., </w:t>
      </w:r>
      <w:r w:rsidRPr="009132B4">
        <w:rPr>
          <w:i/>
          <w:iCs/>
        </w:rPr>
        <w:t>FinderVendorControllerInternal</w:t>
      </w:r>
      <w:r>
        <w:t>,cs).</w:t>
      </w:r>
    </w:p>
    <w:p w14:paraId="3773417D" w14:textId="361F0E9C" w:rsidR="009132B4" w:rsidRDefault="009132B4" w:rsidP="009132B4">
      <w:pPr>
        <w:pStyle w:val="SAGEBullet2"/>
        <w:numPr>
          <w:ilvl w:val="0"/>
          <w:numId w:val="0"/>
        </w:numPr>
      </w:pPr>
      <w:r>
        <w:t>These finders are now configured/defined in the ViewFinderProperties.js file equivalent and therefore these files are now obsolete and must be deleted.</w:t>
      </w:r>
    </w:p>
    <w:p w14:paraId="68CF6DF6" w14:textId="764A7347" w:rsidR="009132B4" w:rsidRDefault="009132B4" w:rsidP="009132B4">
      <w:pPr>
        <w:pStyle w:val="SAGEHeading3"/>
      </w:pPr>
      <w:bookmarkStart w:id="27" w:name="_Toc80621819"/>
      <w:r>
        <w:t>Finder Registrations</w:t>
      </w:r>
      <w:bookmarkEnd w:id="27"/>
    </w:p>
    <w:p w14:paraId="78BA718C" w14:textId="7BF1CFDD" w:rsidR="009132B4" w:rsidRDefault="009132B4" w:rsidP="009132B4">
      <w:pPr>
        <w:pStyle w:val="SAGEBullet2"/>
        <w:numPr>
          <w:ilvl w:val="0"/>
          <w:numId w:val="0"/>
        </w:numPr>
      </w:pPr>
      <w:r>
        <w:t>In your web project, you will see the “</w:t>
      </w:r>
      <w:r w:rsidR="00E61E71">
        <w:t>{</w:t>
      </w:r>
      <w:r w:rsidR="00E61E71" w:rsidRPr="00E61E71">
        <w:rPr>
          <w:i/>
          <w:iCs/>
        </w:rPr>
        <w:t>module</w:t>
      </w:r>
      <w:r w:rsidR="00E61E71">
        <w:t>}WebBootstrapper.cs</w:t>
      </w:r>
      <w:r>
        <w:t xml:space="preserve">” </w:t>
      </w:r>
      <w:r w:rsidR="00E61E71">
        <w:t>file</w:t>
      </w:r>
      <w:r>
        <w:t xml:space="preserve">. This </w:t>
      </w:r>
      <w:r w:rsidR="00E61E71">
        <w:t>file contains the Unity registrations for the finder controller’s that were just deleted in step 6.4.1</w:t>
      </w:r>
      <w:r>
        <w:t>.</w:t>
      </w:r>
    </w:p>
    <w:p w14:paraId="23A2F961" w14:textId="360BD269" w:rsidR="009132B4" w:rsidRDefault="009132B4" w:rsidP="009132B4">
      <w:pPr>
        <w:pStyle w:val="SAGEBullet2"/>
        <w:numPr>
          <w:ilvl w:val="0"/>
          <w:numId w:val="0"/>
        </w:numPr>
      </w:pPr>
      <w:r>
        <w:t xml:space="preserve">These </w:t>
      </w:r>
      <w:r w:rsidR="00E61E71">
        <w:t>registrations must be deleted as they are no longer required</w:t>
      </w:r>
      <w:r>
        <w:t>.</w:t>
      </w:r>
    </w:p>
    <w:p w14:paraId="6080512F" w14:textId="79CF0D3C" w:rsidR="009132B4" w:rsidRDefault="00E61E71" w:rsidP="00E61E71">
      <w:pPr>
        <w:pStyle w:val="SAGEAdmonitionWarning"/>
      </w:pPr>
      <w:r>
        <w:t xml:space="preserve">Failure to delete these registrations will cause a failure when running the partner solution. </w:t>
      </w:r>
    </w:p>
    <w:p w14:paraId="7D4BE17B" w14:textId="69BD20B1" w:rsidR="001654CA" w:rsidRDefault="001654CA" w:rsidP="001654CA">
      <w:pPr>
        <w:pStyle w:val="SAGEHeading2"/>
      </w:pPr>
      <w:bookmarkStart w:id="28" w:name="_Toc80621820"/>
      <w:r>
        <w:t>Web SDK Samples</w:t>
      </w:r>
      <w:bookmarkEnd w:id="28"/>
    </w:p>
    <w:p w14:paraId="5869DA32" w14:textId="4059345C" w:rsidR="00C43BF3" w:rsidRDefault="001654CA" w:rsidP="00E61E71">
      <w:pPr>
        <w:pStyle w:val="SAGEBullet2"/>
        <w:numPr>
          <w:ilvl w:val="0"/>
          <w:numId w:val="0"/>
        </w:numPr>
      </w:pPr>
      <w:r>
        <w:t>Although it was mentioned several times in the proceeding sections, the Web SDK Samples have been updated to invoke the “new” web finders.</w:t>
      </w:r>
    </w:p>
    <w:p w14:paraId="393A8217" w14:textId="565C0CBD" w:rsidR="009B71B0" w:rsidRPr="008E225C" w:rsidRDefault="009B71B0" w:rsidP="00E61E71">
      <w:pPr>
        <w:pStyle w:val="SAGEBullet2"/>
        <w:numPr>
          <w:ilvl w:val="0"/>
          <w:numId w:val="0"/>
        </w:numPr>
      </w:pPr>
      <w:r>
        <w:t>These samples provide numerous examples of invoking finders and can be used as a roadmap to assist with the manual replacement of “original” finders with “new” finders.</w:t>
      </w:r>
    </w:p>
    <w:p w14:paraId="7FBA9DFC" w14:textId="77777777" w:rsidR="009B6E06" w:rsidRPr="000C36AC" w:rsidRDefault="009B6E06" w:rsidP="00506422">
      <w:pPr>
        <w:pStyle w:val="SAGEBodyText"/>
      </w:pP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9" w:name="_Toc80621821"/>
      <w:r>
        <w:lastRenderedPageBreak/>
        <w:t xml:space="preserve">Javascript Minification </w:t>
      </w:r>
      <w:r w:rsidR="0050284B">
        <w:t>Updates</w:t>
      </w:r>
      <w:bookmarkEnd w:id="29"/>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bookmarkStart w:id="30" w:name="_Hlk80369279"/>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bookmarkEnd w:id="30"/>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31" w:name="_Toc80621822"/>
      <w:r>
        <w:lastRenderedPageBreak/>
        <w:t>Compilation Troubleshooting</w:t>
      </w:r>
      <w:bookmarkEnd w:id="3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57B26964"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9CF3" w14:textId="77777777" w:rsidR="00294807" w:rsidRDefault="00294807" w:rsidP="00713520">
      <w:pPr>
        <w:spacing w:line="240" w:lineRule="auto"/>
      </w:pPr>
      <w:r>
        <w:separator/>
      </w:r>
    </w:p>
    <w:p w14:paraId="5EC10FF6" w14:textId="77777777" w:rsidR="00294807" w:rsidRDefault="00294807"/>
  </w:endnote>
  <w:endnote w:type="continuationSeparator" w:id="0">
    <w:p w14:paraId="7BDF05F5" w14:textId="77777777" w:rsidR="00294807" w:rsidRDefault="00294807" w:rsidP="00713520">
      <w:pPr>
        <w:spacing w:line="240" w:lineRule="auto"/>
      </w:pPr>
      <w:r>
        <w:continuationSeparator/>
      </w:r>
    </w:p>
    <w:p w14:paraId="35F4825D" w14:textId="77777777" w:rsidR="00294807" w:rsidRDefault="00294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7CE10059"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F0795">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C027" w14:textId="77777777" w:rsidR="00294807" w:rsidRDefault="00294807" w:rsidP="00713520">
      <w:pPr>
        <w:spacing w:line="240" w:lineRule="auto"/>
      </w:pPr>
    </w:p>
    <w:p w14:paraId="638EA003" w14:textId="77777777" w:rsidR="00294807" w:rsidRDefault="00294807"/>
  </w:footnote>
  <w:footnote w:type="continuationSeparator" w:id="0">
    <w:p w14:paraId="413A632F" w14:textId="77777777" w:rsidR="00294807" w:rsidRDefault="00294807" w:rsidP="00713520">
      <w:pPr>
        <w:spacing w:line="240" w:lineRule="auto"/>
      </w:pPr>
    </w:p>
    <w:p w14:paraId="77FBCC06" w14:textId="77777777" w:rsidR="00294807" w:rsidRDefault="00294807"/>
  </w:footnote>
  <w:footnote w:type="continuationNotice" w:id="1">
    <w:p w14:paraId="4F3648EE" w14:textId="77777777" w:rsidR="00294807" w:rsidRDefault="00294807">
      <w:pPr>
        <w:spacing w:line="240" w:lineRule="auto"/>
      </w:pPr>
    </w:p>
    <w:p w14:paraId="7098ABEC" w14:textId="77777777" w:rsidR="00294807" w:rsidRDefault="00294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11"/>
  </w:num>
  <w:num w:numId="4">
    <w:abstractNumId w:val="32"/>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4"/>
  </w:num>
  <w:num w:numId="20">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5"/>
  </w:num>
  <w:num w:numId="23">
    <w:abstractNumId w:val="13"/>
  </w:num>
  <w:num w:numId="24">
    <w:abstractNumId w:val="20"/>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16"/>
  </w:num>
  <w:num w:numId="30">
    <w:abstractNumId w:val="27"/>
  </w:num>
  <w:num w:numId="31">
    <w:abstractNumId w:val="10"/>
  </w:num>
  <w:num w:numId="3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3"/>
    <w:lvlOverride w:ilvl="0">
      <w:startOverride w:val="1"/>
    </w:lvlOverride>
  </w:num>
  <w:num w:numId="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5"/>
  </w:num>
  <w:num w:numId="37">
    <w:abstractNumId w:val="31"/>
  </w:num>
  <w:num w:numId="38">
    <w:abstractNumId w:val="26"/>
  </w:num>
  <w:num w:numId="39">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8"/>
  </w:num>
  <w:num w:numId="41">
    <w:abstractNumId w:val="30"/>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66"/>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54CA"/>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75A"/>
    <w:rsid w:val="00505CEB"/>
    <w:rsid w:val="00506422"/>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TotalTime>
  <Pages>23</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cp:revision>
  <cp:lastPrinted>2016-01-20T21:45:00Z</cp:lastPrinted>
  <dcterms:created xsi:type="dcterms:W3CDTF">2021-08-23T23:56:00Z</dcterms:created>
  <dcterms:modified xsi:type="dcterms:W3CDTF">2021-08-23T23:56:00Z</dcterms:modified>
</cp:coreProperties>
</file>