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B6762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2F3077">
        <w:t xml:space="preserve"> 2017</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2F3077">
        <w:t>7</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977D3A">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977D3A">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977D3A">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977D3A">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977D3A">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977D3A">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977D3A">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977D3A">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977D3A">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977D3A">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977D3A">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977D3A">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977D3A">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977D3A">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977D3A">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977D3A">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977D3A">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977D3A">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2" w:name="_Toc499727542"/>
      <w:r>
        <w:lastRenderedPageBreak/>
        <w:t>Accessing the Code Generation Wizard</w:t>
      </w:r>
      <w:bookmarkEnd w:id="2"/>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3" w:name="_Toc499727543"/>
      <w:r>
        <w:lastRenderedPageBreak/>
        <w:t>Using</w:t>
      </w:r>
      <w:r w:rsidR="009E5068">
        <w:t xml:space="preserve"> Code Generation Wizard</w:t>
      </w:r>
      <w:bookmarkEnd w:id="3"/>
    </w:p>
    <w:p w:rsidR="009E5068" w:rsidRDefault="009E5068" w:rsidP="009E5068">
      <w:pPr>
        <w:pStyle w:val="SAGEHeading2"/>
      </w:pPr>
      <w:bookmarkStart w:id="4" w:name="_Toc499727544"/>
      <w:r>
        <w:t>Step 1: Select Code Type</w:t>
      </w:r>
      <w:r w:rsidR="00C31969">
        <w:t xml:space="preserve"> and Credentials</w:t>
      </w:r>
      <w:bookmarkEnd w:id="4"/>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5" w:name="_Toc499727545"/>
      <w:r>
        <w:lastRenderedPageBreak/>
        <w:t xml:space="preserve">Step 2: </w:t>
      </w:r>
      <w:r w:rsidR="00A24ED0">
        <w:t>Add/Edit Entities</w:t>
      </w:r>
      <w:bookmarkEnd w:id="5"/>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w:t>
      </w:r>
      <w:bookmarkStart w:id="6" w:name="_GoBack"/>
      <w:bookmarkEnd w:id="6"/>
      <w:r w:rsidR="006617D5">
        <w:t>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7" w:name="_Toc499727546"/>
      <w:r>
        <w:lastRenderedPageBreak/>
        <w:t>Entity Tab</w:t>
      </w:r>
      <w:bookmarkEnd w:id="7"/>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w:t>
      </w:r>
      <w:proofErr w:type="spellStart"/>
      <w:r w:rsidR="004D2E51">
        <w:t>Resx</w:t>
      </w:r>
      <w:proofErr w:type="spellEnd"/>
      <w:r w:rsidR="004D2E51">
        <w:t>”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w:t>
      </w:r>
      <w:proofErr w:type="spellStart"/>
      <w:r>
        <w:t>es</w:t>
      </w:r>
      <w:proofErr w:type="spellEnd"/>
      <w:r>
        <w:t>),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8" w:name="_Toc499727547"/>
      <w:r>
        <w:lastRenderedPageBreak/>
        <w:t>Options Tab</w:t>
      </w:r>
      <w:bookmarkEnd w:id="8"/>
    </w:p>
    <w:p w:rsidR="00752A96" w:rsidRDefault="00752A96" w:rsidP="00752A96">
      <w:pPr>
        <w:pStyle w:val="SAGEBodyText"/>
        <w:tabs>
          <w:tab w:val="left" w:pos="4695"/>
        </w:tabs>
        <w:rPr>
          <w:b/>
        </w:rPr>
      </w:pPr>
      <w:r>
        <w:rPr>
          <w:b/>
          <w:noProof/>
        </w:rPr>
        <w:drawing>
          <wp:inline distT="0" distB="0" distL="0" distR="0">
            <wp:extent cx="58483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428750"/>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711874" w:rsidRDefault="00711874" w:rsidP="00711874">
      <w:pPr>
        <w:pStyle w:val="SAGEBodyText"/>
      </w:pPr>
      <w:r>
        <w:lastRenderedPageBreak/>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rsidR="009E5068" w:rsidRDefault="009E5068" w:rsidP="00967E9D">
      <w:pPr>
        <w:pStyle w:val="SAGEBullet1"/>
      </w:pPr>
      <w:proofErr w:type="spellStart"/>
      <w:r w:rsidRPr="005866A0">
        <w:rPr>
          <w:rStyle w:val="SAGETextFilename"/>
        </w:rPr>
        <w:t>MenuResx.fr.resx</w:t>
      </w:r>
      <w:proofErr w:type="spellEnd"/>
      <w:r>
        <w:t xml:space="preserve"> is the French resource</w:t>
      </w:r>
      <w:r w:rsidR="002F3077">
        <w:t>, if French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 xml:space="preserve">Only the English Resx file is marked as Public. All other </w:t>
      </w:r>
      <w:proofErr w:type="spellStart"/>
      <w:r>
        <w:t>resx</w:t>
      </w:r>
      <w:proofErr w:type="spellEnd"/>
      <w:r>
        <w:t xml:space="preserve">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D3A" w:rsidRDefault="00977D3A" w:rsidP="00713520">
      <w:pPr>
        <w:spacing w:line="240" w:lineRule="auto"/>
      </w:pPr>
      <w:r>
        <w:separator/>
      </w:r>
    </w:p>
    <w:p w:rsidR="00977D3A" w:rsidRDefault="00977D3A"/>
  </w:endnote>
  <w:endnote w:type="continuationSeparator" w:id="0">
    <w:p w:rsidR="00977D3A" w:rsidRDefault="00977D3A" w:rsidP="00713520">
      <w:pPr>
        <w:spacing w:line="240" w:lineRule="auto"/>
      </w:pPr>
      <w:r>
        <w:continuationSeparator/>
      </w:r>
    </w:p>
    <w:p w:rsidR="00977D3A" w:rsidRDefault="00977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977D3A" w:rsidP="005C352D">
          <w:pPr>
            <w:pStyle w:val="SAGEFooter"/>
          </w:pPr>
          <w:r>
            <w:fldChar w:fldCharType="begin"/>
          </w:r>
          <w:r>
            <w:instrText xml:space="preserve"> STYLEREF  SAGE_Title  \* MERGEFORMAT </w:instrText>
          </w:r>
          <w:r>
            <w:fldChar w:fldCharType="separate"/>
          </w:r>
          <w:r w:rsidR="00FD74BA">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FD74BA">
                <w:rPr>
                  <w:noProof/>
                </w:rPr>
                <w:t>21</w:t>
              </w:r>
              <w:r>
                <w:rPr>
                  <w:sz w:val="24"/>
                  <w:szCs w:val="24"/>
                </w:rPr>
                <w:fldChar w:fldCharType="end"/>
              </w:r>
              <w:r>
                <w:t xml:space="preserve"> of </w:t>
              </w:r>
              <w:r>
                <w:fldChar w:fldCharType="begin"/>
              </w:r>
              <w:r>
                <w:instrText xml:space="preserve"> NUMPAGES  </w:instrText>
              </w:r>
              <w:r>
                <w:fldChar w:fldCharType="separate"/>
              </w:r>
              <w:r w:rsidR="00FD74BA">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977D3A" w:rsidP="005C352D">
          <w:pPr>
            <w:pStyle w:val="SAGEFooter"/>
          </w:pPr>
          <w:r>
            <w:fldChar w:fldCharType="begin"/>
          </w:r>
          <w:r>
            <w:instrText xml:space="preserve"> STYLEREF  SAGE_Title  \* MERGEFORMAT </w:instrText>
          </w:r>
          <w:r>
            <w:fldChar w:fldCharType="separate"/>
          </w:r>
          <w:r w:rsidR="00FD74BA">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D74BA">
                <w:rPr>
                  <w:noProof/>
                </w:rPr>
                <w:t>6</w:t>
              </w:r>
              <w:r>
                <w:rPr>
                  <w:sz w:val="24"/>
                  <w:szCs w:val="24"/>
                </w:rPr>
                <w:fldChar w:fldCharType="end"/>
              </w:r>
              <w:r>
                <w:t xml:space="preserve"> of </w:t>
              </w:r>
              <w:r>
                <w:fldChar w:fldCharType="begin"/>
              </w:r>
              <w:r>
                <w:instrText xml:space="preserve"> NUMPAGES  </w:instrText>
              </w:r>
              <w:r>
                <w:fldChar w:fldCharType="separate"/>
              </w:r>
              <w:r w:rsidR="00FD74BA">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D3A" w:rsidRDefault="00977D3A" w:rsidP="00713520">
      <w:pPr>
        <w:spacing w:line="240" w:lineRule="auto"/>
      </w:pPr>
    </w:p>
    <w:p w:rsidR="00977D3A" w:rsidRDefault="00977D3A"/>
  </w:footnote>
  <w:footnote w:type="continuationSeparator" w:id="0">
    <w:p w:rsidR="00977D3A" w:rsidRDefault="00977D3A" w:rsidP="00713520">
      <w:pPr>
        <w:spacing w:line="240" w:lineRule="auto"/>
      </w:pPr>
    </w:p>
    <w:p w:rsidR="00977D3A" w:rsidRDefault="00977D3A"/>
  </w:footnote>
  <w:footnote w:type="continuationNotice" w:id="1">
    <w:p w:rsidR="00977D3A" w:rsidRDefault="00977D3A">
      <w:pPr>
        <w:spacing w:line="240" w:lineRule="auto"/>
      </w:pPr>
    </w:p>
    <w:p w:rsidR="00977D3A" w:rsidRDefault="00977D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977D3A" w:rsidP="0079162B">
    <w:pPr>
      <w:pStyle w:val="SAGEHeader"/>
    </w:pPr>
    <w:r>
      <w:fldChar w:fldCharType="begin"/>
    </w:r>
    <w:r>
      <w:instrText xml:space="preserve"> STYLEREF  "SAGE_Heading 1" \l  \* MERGEFORMAT </w:instrText>
    </w:r>
    <w:r>
      <w:fldChar w:fldCharType="separate"/>
    </w:r>
    <w:r w:rsidR="00FD74BA">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0.25pt;height:20.25pt" o:bullet="t">
        <v:imagedata r:id="rId1" o:title="clip_image001"/>
      </v:shape>
    </w:pict>
  </w:numPicBullet>
  <w:numPicBullet w:numPicBulletId="1">
    <w:pict>
      <v:shape id="_x0000_i1082"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AAAC9-69B8-410F-B9A3-619ADC63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223</TotalTime>
  <Pages>23</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Chu, Kevin</cp:lastModifiedBy>
  <cp:revision>36</cp:revision>
  <cp:lastPrinted>2016-01-19T01:08:00Z</cp:lastPrinted>
  <dcterms:created xsi:type="dcterms:W3CDTF">2017-11-29T14:48:00Z</dcterms:created>
  <dcterms:modified xsi:type="dcterms:W3CDTF">2017-11-30T20:03:00Z</dcterms:modified>
</cp:coreProperties>
</file>