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07A7" w14:textId="77777777" w:rsidR="00452DDF" w:rsidRDefault="00452DDF">
      <w:pPr>
        <w:spacing w:before="480"/>
      </w:pPr>
    </w:p>
    <w:p w14:paraId="064838C9" w14:textId="77777777" w:rsidR="00452DDF" w:rsidRDefault="00000000">
      <w:pPr>
        <w:pStyle w:val="Title"/>
        <w:spacing w:after="120"/>
      </w:pPr>
      <w:r>
        <w:t>Customer Debrief Skill</w:t>
      </w:r>
    </w:p>
    <w:p w14:paraId="1BB72374" w14:textId="77777777" w:rsidR="00452DDF" w:rsidRDefault="00000000">
      <w:pPr>
        <w:pStyle w:val="Subtitle"/>
        <w:spacing w:after="80"/>
      </w:pPr>
      <w:r>
        <w:t>AI-Powered Meeting Follow-Up for Innovation Hub Engagements</w:t>
      </w:r>
    </w:p>
    <w:p w14:paraId="5BD7E7F7" w14:textId="77777777" w:rsidR="00452DDF" w:rsidRDefault="00000000">
      <w:pPr>
        <w:pStyle w:val="Subtitle"/>
        <w:spacing w:after="480"/>
      </w:pPr>
      <w:r>
        <w:t>Microsoft Innovation Hub • June 2026</w:t>
      </w:r>
    </w:p>
    <w:p w14:paraId="04EACBDF" w14:textId="77777777" w:rsidR="00452DDF" w:rsidRDefault="00452DDF">
      <w:pPr>
        <w:pBdr>
          <w:bottom w:val="single" w:sz="6" w:space="1" w:color="0078D4"/>
        </w:pBdr>
        <w:spacing w:after="360"/>
      </w:pPr>
    </w:p>
    <w:p w14:paraId="3E9BD505" w14:textId="77777777" w:rsidR="00452DDF" w:rsidRDefault="00000000">
      <w:pPr>
        <w:pStyle w:val="Heading1"/>
      </w:pPr>
      <w:r>
        <w:t>Executive Summary</w:t>
      </w:r>
    </w:p>
    <w:p w14:paraId="7B4804B1" w14:textId="77777777" w:rsidR="00452DDF" w:rsidRDefault="00000000">
      <w:r>
        <w:t>The Customer Debrief Skill is a generative AI capability that transforms a completed meeting transcript into a polished, ready-to-send follow-up package. In one run it produces a concise customer-facing email and a structured internal debrief — both grounded exclusively in what was said during the session, reviewed by the architect before sending.</w:t>
      </w:r>
    </w:p>
    <w:p w14:paraId="14E8FF60" w14:textId="77777777" w:rsidR="00452DDF" w:rsidRDefault="00000000">
      <w:r>
        <w:t>The skill is designed for Senior Cloud Architects at the Microsoft Innovation Hub, covering Solution Envisioning sessions, Architecture Design workshops, and customer discovery calls. Every output leads with action items and decisions, covers the Business, eXperience, and Technology (BXT) dimensions of the engagement, and separates what is safe to share externally from what is for internal use only.</w:t>
      </w:r>
    </w:p>
    <w:p w14:paraId="4999D021" w14:textId="77777777" w:rsidR="00452DDF" w:rsidRDefault="00000000">
      <w:r>
        <w:t>Firms that follow up within one hour of a customer engagement are seven times more likely to progress the conversation. The skill makes a high-quality, consistent follow-up the default — not the exception.</w:t>
      </w:r>
    </w:p>
    <w:p w14:paraId="2CD25C0E" w14:textId="77777777" w:rsidR="00452DDF" w:rsidRDefault="00000000">
      <w:pPr>
        <w:pStyle w:val="Heading1"/>
      </w:pPr>
      <w:r>
        <w:t>The Challenge</w:t>
      </w:r>
    </w:p>
    <w:p w14:paraId="1D22454D" w14:textId="77777777" w:rsidR="00452DDF" w:rsidRDefault="00000000">
      <w:r>
        <w:t>Follow-up quality after Innovation Hub engagements currently varies widely. Some architects produce detailed debriefs within hours; others send minimal notes days later or skip documentation altogether. This inconsistency creates four compounding problems.</w:t>
      </w:r>
    </w:p>
    <w:p w14:paraId="46C96800" w14:textId="77777777" w:rsidR="00452DDF" w:rsidRDefault="00000000">
      <w:pPr>
        <w:pStyle w:val="ListParagraph"/>
        <w:numPr>
          <w:ilvl w:val="0"/>
          <w:numId w:val="2"/>
        </w:numPr>
        <w:spacing w:after="100"/>
      </w:pPr>
      <w:r>
        <w:rPr>
          <w:b/>
        </w:rPr>
        <w:t xml:space="preserve">Lost momentum. </w:t>
      </w:r>
      <w:r>
        <w:t>Without a timely recap, customers lose the thread of what was decided and may turn to other partners before next steps are confirmed.</w:t>
      </w:r>
    </w:p>
    <w:p w14:paraId="37A7975A" w14:textId="77777777" w:rsidR="00452DDF" w:rsidRDefault="00000000">
      <w:pPr>
        <w:pStyle w:val="ListParagraph"/>
        <w:numPr>
          <w:ilvl w:val="0"/>
          <w:numId w:val="2"/>
        </w:numPr>
        <w:spacing w:after="100"/>
      </w:pPr>
      <w:r>
        <w:rPr>
          <w:b/>
        </w:rPr>
        <w:t xml:space="preserve">Unclear ownership. </w:t>
      </w:r>
      <w:r>
        <w:t>Poorly defined action items cause confusion, slow execution, and erode stakeholder confidence in the engagement.</w:t>
      </w:r>
    </w:p>
    <w:p w14:paraId="336618E2" w14:textId="77777777" w:rsidR="00452DDF" w:rsidRDefault="00000000">
      <w:pPr>
        <w:pStyle w:val="ListParagraph"/>
        <w:numPr>
          <w:ilvl w:val="0"/>
          <w:numId w:val="2"/>
        </w:numPr>
        <w:spacing w:after="100"/>
      </w:pPr>
      <w:r>
        <w:rPr>
          <w:b/>
        </w:rPr>
        <w:lastRenderedPageBreak/>
        <w:t xml:space="preserve">Fragmented formats. </w:t>
      </w:r>
      <w:r>
        <w:t>Ad-hoc styles — from lengthy memos to informal bullet points — make it hard to parse outcomes or track decisions across engagements.</w:t>
      </w:r>
    </w:p>
    <w:p w14:paraId="6ED570FD" w14:textId="77777777" w:rsidR="00452DDF" w:rsidRDefault="00000000">
      <w:pPr>
        <w:pStyle w:val="ListParagraph"/>
        <w:numPr>
          <w:ilvl w:val="0"/>
          <w:numId w:val="2"/>
        </w:numPr>
        <w:spacing w:after="240"/>
      </w:pPr>
      <w:r>
        <w:rPr>
          <w:b/>
        </w:rPr>
        <w:t xml:space="preserve">Wasted architect time. </w:t>
      </w:r>
      <w:r>
        <w:t>Crafting a thorough debrief after an intensive session is time-consuming. Under pressure, consultants skip detail or send incomplete notes — compromising the value of the engagement.</w:t>
      </w:r>
    </w:p>
    <w:p w14:paraId="0D5C806A" w14:textId="77777777" w:rsidR="00452DDF" w:rsidRDefault="00000000">
      <w:r>
        <w:t>In the Innovation Hub context — where sessions like Solution Envisioning and Architecture Design generate critical, multi-disciplinary insights — these problems are magnified. Current follow-ups do not consistently capture the full BXT perspective, nor do they reliably highlight the outcomes and next steps that drive action.</w:t>
      </w:r>
    </w:p>
    <w:p w14:paraId="30B72891" w14:textId="77777777" w:rsidR="00452DDF" w:rsidRDefault="00000000">
      <w:pPr>
        <w:pStyle w:val="Heading1"/>
      </w:pPr>
      <w:r>
        <w:t>The Solution</w:t>
      </w:r>
    </w:p>
    <w:p w14:paraId="7D9C1624" w14:textId="77777777" w:rsidR="00452DDF" w:rsidRDefault="00000000">
      <w:r>
        <w:t>The Customer Debrief Skill ingests the meeting transcript after a session ends and applies a large language model to produce two ready-to-use artifacts. The architect reviews and approves both before anything is sent — the skill handles the drafting, not the judgment.</w:t>
      </w:r>
    </w:p>
    <w:tbl>
      <w:tblPr>
        <w:tblW w:w="9026" w:type="dxa"/>
        <w:tblBorders>
          <w:top w:val="single" w:sz="4" w:space="0" w:color="0078D4"/>
          <w:bottom w:val="single" w:sz="4" w:space="0" w:color="0078D4"/>
          <w:insideH w:val="single" w:sz="4" w:space="0" w:color="D0D0D0"/>
        </w:tblBorders>
        <w:tblCellMar>
          <w:top w:w="120" w:type="dxa"/>
          <w:left w:w="0" w:type="dxa"/>
          <w:bottom w:w="120" w:type="dxa"/>
          <w:right w:w="0" w:type="dxa"/>
        </w:tblCellMar>
        <w:tblLook w:val="04A0" w:firstRow="1" w:lastRow="0" w:firstColumn="1" w:lastColumn="0" w:noHBand="0" w:noVBand="1"/>
      </w:tblPr>
      <w:tblGrid>
        <w:gridCol w:w="4513"/>
        <w:gridCol w:w="4513"/>
      </w:tblGrid>
      <w:tr w:rsidR="00452DDF" w14:paraId="58F928D0" w14:textId="77777777">
        <w:tc>
          <w:tcPr>
            <w:tcW w:w="4513" w:type="dxa"/>
            <w:shd w:val="clear" w:color="auto" w:fill="0078D4"/>
            <w:tcMar>
              <w:top w:w="100" w:type="dxa"/>
              <w:left w:w="160" w:type="dxa"/>
              <w:bottom w:w="100" w:type="dxa"/>
              <w:right w:w="160" w:type="dxa"/>
            </w:tcMar>
          </w:tcPr>
          <w:p w14:paraId="680A709E" w14:textId="77777777" w:rsidR="00452DDF" w:rsidRDefault="00000000">
            <w:pPr>
              <w:spacing w:after="0"/>
            </w:pPr>
            <w:r>
              <w:rPr>
                <w:b/>
                <w:color w:val="FFFFFF"/>
              </w:rPr>
              <w:t>Customer-Facing Email</w:t>
            </w:r>
          </w:p>
        </w:tc>
        <w:tc>
          <w:tcPr>
            <w:tcW w:w="4513" w:type="dxa"/>
            <w:shd w:val="clear" w:color="auto" w:fill="0078D4"/>
            <w:tcMar>
              <w:top w:w="100" w:type="dxa"/>
              <w:left w:w="160" w:type="dxa"/>
              <w:bottom w:w="100" w:type="dxa"/>
              <w:right w:w="160" w:type="dxa"/>
            </w:tcMar>
          </w:tcPr>
          <w:p w14:paraId="738F3BE1" w14:textId="77777777" w:rsidR="00452DDF" w:rsidRDefault="00000000">
            <w:pPr>
              <w:spacing w:after="0"/>
            </w:pPr>
            <w:r>
              <w:rPr>
                <w:b/>
                <w:color w:val="FFFFFF"/>
              </w:rPr>
              <w:t>Internal Debrief</w:t>
            </w:r>
          </w:p>
        </w:tc>
      </w:tr>
      <w:tr w:rsidR="00452DDF" w14:paraId="76043C2A" w14:textId="77777777">
        <w:tc>
          <w:tcPr>
            <w:tcW w:w="4513" w:type="dxa"/>
            <w:shd w:val="clear" w:color="auto" w:fill="EBF3FB"/>
            <w:tcMar>
              <w:top w:w="120" w:type="dxa"/>
              <w:left w:w="160" w:type="dxa"/>
              <w:bottom w:w="120" w:type="dxa"/>
              <w:right w:w="160" w:type="dxa"/>
            </w:tcMar>
          </w:tcPr>
          <w:p w14:paraId="699F99FD" w14:textId="77777777" w:rsidR="00452DDF" w:rsidRDefault="00000000">
            <w:pPr>
              <w:spacing w:after="80"/>
            </w:pPr>
            <w:r>
              <w:t>Concise, professional recap addressed to the customer team. Leads with action items. Covers key decisions and agreed next steps. Free of internal commentary.</w:t>
            </w:r>
          </w:p>
          <w:p w14:paraId="2AE3645D" w14:textId="77777777" w:rsidR="00452DDF" w:rsidRDefault="00000000">
            <w:pPr>
              <w:spacing w:after="80"/>
            </w:pPr>
            <w:r>
              <w:rPr>
                <w:b/>
              </w:rPr>
              <w:t xml:space="preserve">Audience: </w:t>
            </w:r>
            <w:r>
              <w:t>Customer stakeholders and project sponsors</w:t>
            </w:r>
          </w:p>
          <w:p w14:paraId="708E1B60" w14:textId="77777777" w:rsidR="00452DDF" w:rsidRDefault="00000000">
            <w:pPr>
              <w:spacing w:after="80"/>
            </w:pPr>
            <w:r>
              <w:rPr>
                <w:b/>
              </w:rPr>
              <w:t xml:space="preserve">Length: </w:t>
            </w:r>
            <w:r>
              <w:t>≤400 words</w:t>
            </w:r>
          </w:p>
          <w:p w14:paraId="16BD18AE" w14:textId="77777777" w:rsidR="00452DDF" w:rsidRDefault="00000000">
            <w:pPr>
              <w:spacing w:after="0"/>
            </w:pPr>
            <w:r>
              <w:rPr>
                <w:b/>
              </w:rPr>
              <w:t xml:space="preserve">Tone: </w:t>
            </w:r>
            <w:r>
              <w:t>Strategic, warm, forward-looking</w:t>
            </w:r>
          </w:p>
        </w:tc>
        <w:tc>
          <w:tcPr>
            <w:tcW w:w="4513" w:type="dxa"/>
            <w:shd w:val="clear" w:color="auto" w:fill="F5F5F5"/>
            <w:tcMar>
              <w:top w:w="120" w:type="dxa"/>
              <w:left w:w="160" w:type="dxa"/>
              <w:bottom w:w="120" w:type="dxa"/>
              <w:right w:w="160" w:type="dxa"/>
            </w:tcMar>
          </w:tcPr>
          <w:p w14:paraId="6F6886C7" w14:textId="77777777" w:rsidR="00452DDF" w:rsidRDefault="00000000">
            <w:pPr>
              <w:spacing w:after="80"/>
            </w:pPr>
            <w:r>
              <w:t>Complete structured record for internal use. Includes full BXT analysis, open items, risks, and observations about the customer’s technical environment and decision dynamics.</w:t>
            </w:r>
          </w:p>
          <w:p w14:paraId="180769A5" w14:textId="77777777" w:rsidR="00452DDF" w:rsidRDefault="00000000">
            <w:pPr>
              <w:spacing w:after="80"/>
            </w:pPr>
            <w:r>
              <w:rPr>
                <w:b/>
              </w:rPr>
              <w:t xml:space="preserve">Audience: </w:t>
            </w:r>
            <w:r>
              <w:t>Innovation Hub team, CEHub record</w:t>
            </w:r>
          </w:p>
          <w:p w14:paraId="6F6CA166" w14:textId="77777777" w:rsidR="00452DDF" w:rsidRDefault="00000000">
            <w:pPr>
              <w:spacing w:after="80"/>
            </w:pPr>
            <w:r>
              <w:rPr>
                <w:b/>
              </w:rPr>
              <w:t xml:space="preserve">Length: </w:t>
            </w:r>
            <w:r>
              <w:t>As complete as the session requires</w:t>
            </w:r>
          </w:p>
          <w:p w14:paraId="3578CAAE" w14:textId="77777777" w:rsidR="00452DDF" w:rsidRDefault="00000000">
            <w:pPr>
              <w:spacing w:after="0"/>
            </w:pPr>
            <w:r>
              <w:rPr>
                <w:b/>
              </w:rPr>
              <w:t xml:space="preserve">Tone: </w:t>
            </w:r>
            <w:r>
              <w:t>Architect-to-architect, precise, unambiguous</w:t>
            </w:r>
          </w:p>
        </w:tc>
      </w:tr>
    </w:tbl>
    <w:p w14:paraId="1B8517FD" w14:textId="77777777" w:rsidR="00452DDF" w:rsidRDefault="00452DDF">
      <w:pPr>
        <w:spacing w:after="240"/>
      </w:pPr>
    </w:p>
    <w:p w14:paraId="5BF5FAC8" w14:textId="77777777" w:rsidR="00452DDF" w:rsidRDefault="00000000">
      <w:pPr>
        <w:pStyle w:val="Heading1"/>
      </w:pPr>
      <w:r>
        <w:t>Debrief Structure</w:t>
      </w:r>
    </w:p>
    <w:p w14:paraId="06A2BB81" w14:textId="77777777" w:rsidR="00452DDF" w:rsidRDefault="00000000">
      <w:r>
        <w:t>Every debrief produced by the skill follows the same structure, regardless of session type. Action items appear first — the bottom line up front — so that busy executives and technical leads reach the most important content without scrolling.</w:t>
      </w:r>
    </w:p>
    <w:tbl>
      <w:tblPr>
        <w:tblW w:w="9026" w:type="dxa"/>
        <w:tblBorders>
          <w:top w:val="single" w:sz="4" w:space="0" w:color="D0D0D0"/>
          <w:bottom w:val="single" w:sz="4" w:space="0" w:color="D0D0D0"/>
          <w:insideH w:val="single" w:sz="4" w:space="0" w:color="D0D0D0"/>
          <w:insideV w:val="single" w:sz="4" w:space="0" w:color="D0D0D0"/>
        </w:tblBorders>
        <w:tblCellMar>
          <w:top w:w="80" w:type="dxa"/>
          <w:left w:w="160" w:type="dxa"/>
          <w:bottom w:w="80" w:type="dxa"/>
          <w:right w:w="160" w:type="dxa"/>
        </w:tblCellMar>
        <w:tblLook w:val="04A0" w:firstRow="1" w:lastRow="0" w:firstColumn="1" w:lastColumn="0" w:noHBand="0" w:noVBand="1"/>
      </w:tblPr>
      <w:tblGrid>
        <w:gridCol w:w="720"/>
        <w:gridCol w:w="2800"/>
        <w:gridCol w:w="5506"/>
      </w:tblGrid>
      <w:tr w:rsidR="00452DDF" w14:paraId="258DF9AA" w14:textId="77777777">
        <w:tc>
          <w:tcPr>
            <w:tcW w:w="720" w:type="dxa"/>
            <w:shd w:val="clear" w:color="auto" w:fill="F0F0F0"/>
          </w:tcPr>
          <w:p w14:paraId="2BFFE61B" w14:textId="77777777" w:rsidR="00452DDF" w:rsidRDefault="00000000">
            <w:pPr>
              <w:spacing w:after="0"/>
            </w:pPr>
            <w:r>
              <w:rPr>
                <w:b/>
                <w:sz w:val="20"/>
              </w:rPr>
              <w:t>#</w:t>
            </w:r>
          </w:p>
        </w:tc>
        <w:tc>
          <w:tcPr>
            <w:tcW w:w="2800" w:type="dxa"/>
            <w:shd w:val="clear" w:color="auto" w:fill="F0F0F0"/>
          </w:tcPr>
          <w:p w14:paraId="132B7406" w14:textId="77777777" w:rsidR="00452DDF" w:rsidRDefault="00000000">
            <w:pPr>
              <w:spacing w:after="0"/>
            </w:pPr>
            <w:r>
              <w:rPr>
                <w:b/>
                <w:sz w:val="20"/>
              </w:rPr>
              <w:t>Section</w:t>
            </w:r>
          </w:p>
        </w:tc>
        <w:tc>
          <w:tcPr>
            <w:tcW w:w="5506" w:type="dxa"/>
            <w:shd w:val="clear" w:color="auto" w:fill="F0F0F0"/>
          </w:tcPr>
          <w:p w14:paraId="050ED855" w14:textId="77777777" w:rsidR="00452DDF" w:rsidRDefault="00000000">
            <w:pPr>
              <w:spacing w:after="0"/>
            </w:pPr>
            <w:r>
              <w:rPr>
                <w:b/>
                <w:sz w:val="20"/>
              </w:rPr>
              <w:t>Contents</w:t>
            </w:r>
          </w:p>
        </w:tc>
      </w:tr>
      <w:tr w:rsidR="00452DDF" w14:paraId="1DADF43B" w14:textId="77777777">
        <w:tc>
          <w:tcPr>
            <w:tcW w:w="720" w:type="dxa"/>
            <w:shd w:val="clear" w:color="auto" w:fill="0078D4"/>
          </w:tcPr>
          <w:p w14:paraId="52AFBEDB" w14:textId="77777777" w:rsidR="00452DDF" w:rsidRDefault="00000000">
            <w:pPr>
              <w:spacing w:after="0"/>
              <w:jc w:val="center"/>
            </w:pPr>
            <w:r>
              <w:rPr>
                <w:b/>
                <w:color w:val="FFFFFF"/>
                <w:sz w:val="20"/>
              </w:rPr>
              <w:lastRenderedPageBreak/>
              <w:t>1</w:t>
            </w:r>
          </w:p>
        </w:tc>
        <w:tc>
          <w:tcPr>
            <w:tcW w:w="2800" w:type="dxa"/>
          </w:tcPr>
          <w:p w14:paraId="3B39B811" w14:textId="77777777" w:rsidR="00452DDF" w:rsidRDefault="00000000">
            <w:pPr>
              <w:spacing w:after="0"/>
            </w:pPr>
            <w:r>
              <w:rPr>
                <w:b/>
                <w:sz w:val="20"/>
              </w:rPr>
              <w:t>Action Items &amp; Next Steps</w:t>
            </w:r>
          </w:p>
        </w:tc>
        <w:tc>
          <w:tcPr>
            <w:tcW w:w="5506" w:type="dxa"/>
          </w:tcPr>
          <w:p w14:paraId="30573C38" w14:textId="77777777" w:rsidR="00452DDF" w:rsidRDefault="00000000">
            <w:pPr>
              <w:spacing w:after="0"/>
            </w:pPr>
            <w:r>
              <w:rPr>
                <w:sz w:val="20"/>
              </w:rPr>
              <w:t xml:space="preserve">Each item with named owner and due date. No owner = </w:t>
            </w:r>
            <w:r>
              <w:rPr>
                <w:i/>
                <w:sz w:val="20"/>
              </w:rPr>
              <w:t>[TBC]</w:t>
            </w:r>
            <w:r>
              <w:rPr>
                <w:sz w:val="20"/>
              </w:rPr>
              <w:t xml:space="preserve"> flagged for review.</w:t>
            </w:r>
          </w:p>
        </w:tc>
      </w:tr>
      <w:tr w:rsidR="00452DDF" w14:paraId="10CD0908" w14:textId="77777777">
        <w:tc>
          <w:tcPr>
            <w:tcW w:w="720" w:type="dxa"/>
            <w:shd w:val="clear" w:color="auto" w:fill="0078D4"/>
          </w:tcPr>
          <w:p w14:paraId="357F44A4" w14:textId="77777777" w:rsidR="00452DDF" w:rsidRDefault="00000000">
            <w:pPr>
              <w:spacing w:after="0"/>
              <w:jc w:val="center"/>
            </w:pPr>
            <w:r>
              <w:rPr>
                <w:b/>
                <w:color w:val="FFFFFF"/>
                <w:sz w:val="20"/>
              </w:rPr>
              <w:t>2</w:t>
            </w:r>
          </w:p>
        </w:tc>
        <w:tc>
          <w:tcPr>
            <w:tcW w:w="2800" w:type="dxa"/>
          </w:tcPr>
          <w:p w14:paraId="6E790CCF" w14:textId="77777777" w:rsidR="00452DDF" w:rsidRDefault="00000000">
            <w:pPr>
              <w:spacing w:after="0"/>
            </w:pPr>
            <w:r>
              <w:rPr>
                <w:b/>
                <w:sz w:val="20"/>
              </w:rPr>
              <w:t>Key Decisions</w:t>
            </w:r>
          </w:p>
        </w:tc>
        <w:tc>
          <w:tcPr>
            <w:tcW w:w="5506" w:type="dxa"/>
          </w:tcPr>
          <w:p w14:paraId="34ED5B1C" w14:textId="77777777" w:rsidR="00452DDF" w:rsidRDefault="00000000">
            <w:pPr>
              <w:spacing w:after="0"/>
            </w:pPr>
            <w:r>
              <w:rPr>
                <w:sz w:val="20"/>
              </w:rPr>
              <w:t>Confirmed decisions only — open items are listed separately, not mixed with decisions.</w:t>
            </w:r>
          </w:p>
        </w:tc>
      </w:tr>
      <w:tr w:rsidR="00452DDF" w14:paraId="50BBA896" w14:textId="77777777">
        <w:tc>
          <w:tcPr>
            <w:tcW w:w="720" w:type="dxa"/>
            <w:shd w:val="clear" w:color="auto" w:fill="0078D4"/>
          </w:tcPr>
          <w:p w14:paraId="24E032CD" w14:textId="77777777" w:rsidR="00452DDF" w:rsidRDefault="00000000">
            <w:pPr>
              <w:spacing w:after="0"/>
              <w:jc w:val="center"/>
            </w:pPr>
            <w:r>
              <w:rPr>
                <w:b/>
                <w:color w:val="FFFFFF"/>
                <w:sz w:val="20"/>
              </w:rPr>
              <w:t>3</w:t>
            </w:r>
          </w:p>
        </w:tc>
        <w:tc>
          <w:tcPr>
            <w:tcW w:w="2800" w:type="dxa"/>
          </w:tcPr>
          <w:p w14:paraId="4809B378" w14:textId="77777777" w:rsidR="00452DDF" w:rsidRDefault="00000000">
            <w:pPr>
              <w:spacing w:after="0"/>
            </w:pPr>
            <w:r>
              <w:rPr>
                <w:b/>
                <w:sz w:val="20"/>
              </w:rPr>
              <w:t>BXT Summary</w:t>
            </w:r>
          </w:p>
        </w:tc>
        <w:tc>
          <w:tcPr>
            <w:tcW w:w="5506" w:type="dxa"/>
          </w:tcPr>
          <w:p w14:paraId="3736E9FF" w14:textId="77777777" w:rsidR="00452DDF" w:rsidRDefault="00000000">
            <w:pPr>
              <w:spacing w:after="0"/>
            </w:pPr>
            <w:r>
              <w:rPr>
                <w:b/>
                <w:sz w:val="20"/>
              </w:rPr>
              <w:t xml:space="preserve">Business </w:t>
            </w:r>
            <w:r>
              <w:rPr>
                <w:sz w:val="20"/>
              </w:rPr>
              <w:t xml:space="preserve">— value outcomes and ROI signals. </w:t>
            </w:r>
            <w:r>
              <w:rPr>
                <w:b/>
                <w:sz w:val="20"/>
              </w:rPr>
              <w:t xml:space="preserve">eXperience </w:t>
            </w:r>
            <w:r>
              <w:rPr>
                <w:sz w:val="20"/>
              </w:rPr>
              <w:t xml:space="preserve">— user journey and adoption considerations. </w:t>
            </w:r>
            <w:r>
              <w:rPr>
                <w:b/>
                <w:sz w:val="20"/>
              </w:rPr>
              <w:t xml:space="preserve">Technology </w:t>
            </w:r>
            <w:r>
              <w:rPr>
                <w:sz w:val="20"/>
              </w:rPr>
              <w:t>— agreed technical direction, architecture decisions, and services confirmed.</w:t>
            </w:r>
          </w:p>
        </w:tc>
      </w:tr>
      <w:tr w:rsidR="00452DDF" w14:paraId="77C6D9D4" w14:textId="77777777">
        <w:tc>
          <w:tcPr>
            <w:tcW w:w="720" w:type="dxa"/>
            <w:shd w:val="clear" w:color="auto" w:fill="0078D4"/>
          </w:tcPr>
          <w:p w14:paraId="4A3F713C" w14:textId="77777777" w:rsidR="00452DDF" w:rsidRDefault="00000000">
            <w:pPr>
              <w:spacing w:after="0"/>
              <w:jc w:val="center"/>
            </w:pPr>
            <w:r>
              <w:rPr>
                <w:b/>
                <w:color w:val="FFFFFF"/>
                <w:sz w:val="20"/>
              </w:rPr>
              <w:t>4</w:t>
            </w:r>
          </w:p>
        </w:tc>
        <w:tc>
          <w:tcPr>
            <w:tcW w:w="2800" w:type="dxa"/>
          </w:tcPr>
          <w:p w14:paraId="7EE7F677" w14:textId="77777777" w:rsidR="00452DDF" w:rsidRDefault="00000000">
            <w:pPr>
              <w:spacing w:after="0"/>
            </w:pPr>
            <w:r>
              <w:rPr>
                <w:b/>
                <w:sz w:val="20"/>
              </w:rPr>
              <w:t>Session Summary</w:t>
            </w:r>
          </w:p>
        </w:tc>
        <w:tc>
          <w:tcPr>
            <w:tcW w:w="5506" w:type="dxa"/>
          </w:tcPr>
          <w:p w14:paraId="23E7341C" w14:textId="77777777" w:rsidR="00452DDF" w:rsidRDefault="00000000">
            <w:pPr>
              <w:spacing w:after="0"/>
            </w:pPr>
            <w:r>
              <w:rPr>
                <w:sz w:val="20"/>
              </w:rPr>
              <w:t>Concise narrative of what was discussed — not a transcript replay, but a meaningful summary of the thread and what shifted.</w:t>
            </w:r>
          </w:p>
        </w:tc>
      </w:tr>
      <w:tr w:rsidR="00452DDF" w14:paraId="70C344B4" w14:textId="77777777">
        <w:tc>
          <w:tcPr>
            <w:tcW w:w="720" w:type="dxa"/>
            <w:shd w:val="clear" w:color="auto" w:fill="0078D4"/>
          </w:tcPr>
          <w:p w14:paraId="229F9B0B" w14:textId="77777777" w:rsidR="00452DDF" w:rsidRDefault="00000000">
            <w:pPr>
              <w:spacing w:after="0"/>
              <w:jc w:val="center"/>
            </w:pPr>
            <w:r>
              <w:rPr>
                <w:b/>
                <w:color w:val="FFFFFF"/>
                <w:sz w:val="20"/>
              </w:rPr>
              <w:t>5</w:t>
            </w:r>
          </w:p>
        </w:tc>
        <w:tc>
          <w:tcPr>
            <w:tcW w:w="2800" w:type="dxa"/>
          </w:tcPr>
          <w:p w14:paraId="600BC6BE" w14:textId="77777777" w:rsidR="00452DDF" w:rsidRDefault="00000000">
            <w:pPr>
              <w:spacing w:after="0"/>
            </w:pPr>
            <w:r>
              <w:rPr>
                <w:b/>
                <w:sz w:val="20"/>
              </w:rPr>
              <w:t>Open Items &amp; Risks</w:t>
            </w:r>
          </w:p>
        </w:tc>
        <w:tc>
          <w:tcPr>
            <w:tcW w:w="5506" w:type="dxa"/>
          </w:tcPr>
          <w:p w14:paraId="3ED44762" w14:textId="77777777" w:rsidR="00452DDF" w:rsidRDefault="00000000">
            <w:pPr>
              <w:spacing w:after="0"/>
            </w:pPr>
            <w:r>
              <w:rPr>
                <w:sz w:val="20"/>
              </w:rPr>
              <w:t>Unresolved questions, dependencies, and risks surfaced during the session. Internal-only items are stripped from the customer email.</w:t>
            </w:r>
          </w:p>
        </w:tc>
      </w:tr>
    </w:tbl>
    <w:p w14:paraId="0E2F9FE2" w14:textId="77777777" w:rsidR="00452DDF" w:rsidRDefault="00452DDF">
      <w:pPr>
        <w:spacing w:after="240"/>
      </w:pPr>
    </w:p>
    <w:p w14:paraId="5415698E" w14:textId="77777777" w:rsidR="00452DDF" w:rsidRDefault="00000000">
      <w:pPr>
        <w:pStyle w:val="Heading1"/>
      </w:pPr>
      <w:r>
        <w:t>Design Principles</w:t>
      </w:r>
    </w:p>
    <w:p w14:paraId="547F5F3A" w14:textId="77777777" w:rsidR="00452DDF" w:rsidRDefault="00000000">
      <w:pPr>
        <w:pStyle w:val="Heading2"/>
      </w:pPr>
      <w:r>
        <w:t>1. Lead with outcomes</w:t>
      </w:r>
    </w:p>
    <w:p w14:paraId="35750A77" w14:textId="77777777" w:rsidR="00452DDF" w:rsidRDefault="00000000">
      <w:pPr>
        <w:spacing w:after="200"/>
      </w:pPr>
      <w:r>
        <w:t>Action items and key decisions appear at the top of every output. Busy executives and technical leads reach what they need to act on without reading the full document. This mirrors the updated Innovation Hub debrief template, which moved action items from the end to the beginning of the structure.</w:t>
      </w:r>
    </w:p>
    <w:p w14:paraId="661F3B43" w14:textId="77777777" w:rsidR="00452DDF" w:rsidRDefault="00000000">
      <w:pPr>
        <w:pStyle w:val="Heading2"/>
      </w:pPr>
      <w:r>
        <w:t>2. Transcript-first grounding</w:t>
      </w:r>
    </w:p>
    <w:p w14:paraId="573176D8" w14:textId="77777777" w:rsidR="00452DDF" w:rsidRDefault="00000000">
      <w:pPr>
        <w:spacing w:after="200"/>
      </w:pPr>
      <w:r>
        <w:t xml:space="preserve">Every claim in the debrief is derived from what was said in the session. The skill does not invent decisions, owners, dates, or product capabilities. If a commitment was not made explicitly, it is marked </w:t>
      </w:r>
      <w:r>
        <w:rPr>
          <w:i/>
        </w:rPr>
        <w:t>[TBC]</w:t>
      </w:r>
      <w:r>
        <w:t xml:space="preserve"> and flagged for the architect to resolve before sending. Anything unclear is labelled “not confirmed in this session” rather than filled in from general knowledge.</w:t>
      </w:r>
    </w:p>
    <w:p w14:paraId="1FA91FD3" w14:textId="77777777" w:rsidR="00452DDF" w:rsidRDefault="00000000">
      <w:pPr>
        <w:pStyle w:val="Heading2"/>
      </w:pPr>
      <w:r>
        <w:t>3. Explicit BXT coverage</w:t>
      </w:r>
    </w:p>
    <w:p w14:paraId="3636B5F3" w14:textId="77777777" w:rsidR="00452DDF" w:rsidRDefault="00000000">
      <w:pPr>
        <w:spacing w:after="200"/>
      </w:pPr>
      <w:r>
        <w:t xml:space="preserve">The skill checks that every debrief addresses all three Innovation Hub dimensions: Business value, eXperience considerations, and Technology direction. If a dimension was not covered in the session, the output includes a placeholder — </w:t>
      </w:r>
      <w:r>
        <w:rPr>
          <w:i/>
        </w:rPr>
        <w:t>“[Business context was not explicitly discussed — please add before sending]”</w:t>
      </w:r>
      <w:r>
        <w:t xml:space="preserve"> — so the architect knows exactly what to complete before the debrief goes out.</w:t>
      </w:r>
    </w:p>
    <w:p w14:paraId="6BEEEC03" w14:textId="77777777" w:rsidR="00452DDF" w:rsidRDefault="00000000">
      <w:pPr>
        <w:pStyle w:val="Heading2"/>
      </w:pPr>
      <w:r>
        <w:lastRenderedPageBreak/>
        <w:t>4. Strict audience separation</w:t>
      </w:r>
    </w:p>
    <w:p w14:paraId="47E12CE5" w14:textId="77777777" w:rsidR="00452DDF" w:rsidRDefault="00000000">
      <w:pPr>
        <w:spacing w:after="200"/>
      </w:pPr>
      <w:r>
        <w:t>The customer-facing email and the internal debrief are produced as two distinct documents. Internal risk commentary, competitive observations, and notes on the customer’s decision-making dynamics never appear in the customer output. The architect does not need to manually edit these out — the separation is enforced by the skill’s design.</w:t>
      </w:r>
    </w:p>
    <w:p w14:paraId="24842622" w14:textId="77777777" w:rsidR="00452DDF" w:rsidRDefault="00000000">
      <w:pPr>
        <w:pStyle w:val="Heading2"/>
      </w:pPr>
      <w:r>
        <w:t>5. Human accountability, always</w:t>
      </w:r>
    </w:p>
    <w:p w14:paraId="7CB7B120" w14:textId="77777777" w:rsidR="00452DDF" w:rsidRDefault="00000000">
      <w:pPr>
        <w:spacing w:after="200"/>
      </w:pPr>
      <w:r>
        <w:t>Every output is a draft. A review notice appears at the top of both documents. The architect approves content, confirms action item owners and dates, and sends on their own authority. The skill accelerates drafting; it does not replace the architect’s judgment or accountability.</w:t>
      </w:r>
    </w:p>
    <w:p w14:paraId="2E132378" w14:textId="77777777" w:rsidR="00452DDF" w:rsidRDefault="00000000">
      <w:pPr>
        <w:pStyle w:val="Heading1"/>
      </w:pPr>
      <w:r>
        <w:t>Supported Engagement Types</w:t>
      </w:r>
    </w:p>
    <w:p w14:paraId="2F447C66" w14:textId="77777777" w:rsidR="00452DDF" w:rsidRDefault="00000000">
      <w:r>
        <w:t>The skill detects the session type automatically from the transcript vocabulary and adapts its output template accordingly. The architect can also specify the type explicitly when triggering the skill.</w:t>
      </w:r>
    </w:p>
    <w:tbl>
      <w:tblPr>
        <w:tblW w:w="9026" w:type="dxa"/>
        <w:tblBorders>
          <w:top w:val="single" w:sz="4" w:space="0" w:color="D0D0D0"/>
          <w:bottom w:val="single" w:sz="4" w:space="0" w:color="D0D0D0"/>
          <w:insideH w:val="single" w:sz="4" w:space="0" w:color="D0D0D0"/>
          <w:insideV w:val="single" w:sz="4" w:space="0" w:color="D0D0D0"/>
        </w:tblBorders>
        <w:tblCellMar>
          <w:top w:w="80" w:type="dxa"/>
          <w:left w:w="160" w:type="dxa"/>
          <w:bottom w:w="80" w:type="dxa"/>
          <w:right w:w="160" w:type="dxa"/>
        </w:tblCellMar>
        <w:tblLook w:val="04A0" w:firstRow="1" w:lastRow="0" w:firstColumn="1" w:lastColumn="0" w:noHBand="0" w:noVBand="1"/>
      </w:tblPr>
      <w:tblGrid>
        <w:gridCol w:w="2700"/>
        <w:gridCol w:w="2163"/>
        <w:gridCol w:w="2163"/>
        <w:gridCol w:w="2000"/>
      </w:tblGrid>
      <w:tr w:rsidR="00452DDF" w14:paraId="022FF7AF" w14:textId="77777777">
        <w:tc>
          <w:tcPr>
            <w:tcW w:w="2700" w:type="dxa"/>
            <w:shd w:val="clear" w:color="auto" w:fill="0078D4"/>
          </w:tcPr>
          <w:p w14:paraId="71652BAB" w14:textId="77777777" w:rsidR="00452DDF" w:rsidRDefault="00000000">
            <w:pPr>
              <w:spacing w:after="0"/>
            </w:pPr>
            <w:r>
              <w:rPr>
                <w:b/>
                <w:color w:val="FFFFFF"/>
                <w:sz w:val="20"/>
              </w:rPr>
              <w:t>Session Type</w:t>
            </w:r>
          </w:p>
        </w:tc>
        <w:tc>
          <w:tcPr>
            <w:tcW w:w="2163" w:type="dxa"/>
            <w:shd w:val="clear" w:color="auto" w:fill="0078D4"/>
          </w:tcPr>
          <w:p w14:paraId="51493E6C" w14:textId="77777777" w:rsidR="00452DDF" w:rsidRDefault="00000000">
            <w:pPr>
              <w:spacing w:after="0"/>
            </w:pPr>
            <w:r>
              <w:rPr>
                <w:b/>
                <w:color w:val="FFFFFF"/>
                <w:sz w:val="20"/>
              </w:rPr>
              <w:t>Business (B)</w:t>
            </w:r>
          </w:p>
        </w:tc>
        <w:tc>
          <w:tcPr>
            <w:tcW w:w="2163" w:type="dxa"/>
            <w:shd w:val="clear" w:color="auto" w:fill="0078D4"/>
          </w:tcPr>
          <w:p w14:paraId="01ECA675" w14:textId="77777777" w:rsidR="00452DDF" w:rsidRDefault="00000000">
            <w:pPr>
              <w:spacing w:after="0"/>
            </w:pPr>
            <w:r>
              <w:rPr>
                <w:b/>
                <w:color w:val="FFFFFF"/>
                <w:sz w:val="20"/>
              </w:rPr>
              <w:t>eXperience (X)</w:t>
            </w:r>
          </w:p>
        </w:tc>
        <w:tc>
          <w:tcPr>
            <w:tcW w:w="2000" w:type="dxa"/>
            <w:shd w:val="clear" w:color="auto" w:fill="0078D4"/>
          </w:tcPr>
          <w:p w14:paraId="6EBA7539" w14:textId="77777777" w:rsidR="00452DDF" w:rsidRDefault="00000000">
            <w:pPr>
              <w:spacing w:after="0"/>
            </w:pPr>
            <w:r>
              <w:rPr>
                <w:b/>
                <w:color w:val="FFFFFF"/>
                <w:sz w:val="20"/>
              </w:rPr>
              <w:t>Technology (T)</w:t>
            </w:r>
          </w:p>
        </w:tc>
      </w:tr>
      <w:tr w:rsidR="00452DDF" w14:paraId="35A45879" w14:textId="77777777">
        <w:tc>
          <w:tcPr>
            <w:tcW w:w="2700" w:type="dxa"/>
            <w:shd w:val="clear" w:color="auto" w:fill="EBF3FB"/>
          </w:tcPr>
          <w:p w14:paraId="053DB53E" w14:textId="77777777" w:rsidR="00452DDF" w:rsidRDefault="00000000">
            <w:pPr>
              <w:spacing w:after="0"/>
            </w:pPr>
            <w:r>
              <w:rPr>
                <w:b/>
                <w:sz w:val="20"/>
              </w:rPr>
              <w:t>Solution Envisioning</w:t>
            </w:r>
          </w:p>
        </w:tc>
        <w:tc>
          <w:tcPr>
            <w:tcW w:w="2163" w:type="dxa"/>
          </w:tcPr>
          <w:p w14:paraId="2B5EB5A3" w14:textId="77777777" w:rsidR="00452DDF" w:rsidRDefault="00000000">
            <w:pPr>
              <w:spacing w:after="0"/>
            </w:pPr>
            <w:r>
              <w:rPr>
                <w:sz w:val="20"/>
              </w:rPr>
              <w:t>Business objectives, use case ROI, prioritized scenarios</w:t>
            </w:r>
          </w:p>
        </w:tc>
        <w:tc>
          <w:tcPr>
            <w:tcW w:w="2163" w:type="dxa"/>
          </w:tcPr>
          <w:p w14:paraId="6B6AFBD4" w14:textId="77777777" w:rsidR="00452DDF" w:rsidRDefault="00000000">
            <w:pPr>
              <w:spacing w:after="0"/>
            </w:pPr>
            <w:r>
              <w:rPr>
                <w:sz w:val="20"/>
              </w:rPr>
              <w:t>Stakeholder alignment, shared vision, demo reactions</w:t>
            </w:r>
          </w:p>
        </w:tc>
        <w:tc>
          <w:tcPr>
            <w:tcW w:w="2000" w:type="dxa"/>
          </w:tcPr>
          <w:p w14:paraId="024BEBDE" w14:textId="77777777" w:rsidR="00452DDF" w:rsidRDefault="00000000">
            <w:pPr>
              <w:spacing w:after="0"/>
            </w:pPr>
            <w:r>
              <w:rPr>
                <w:sz w:val="20"/>
              </w:rPr>
              <w:t>Agreed technical direction and products</w:t>
            </w:r>
          </w:p>
        </w:tc>
      </w:tr>
      <w:tr w:rsidR="00452DDF" w14:paraId="767DD3F9" w14:textId="77777777">
        <w:tc>
          <w:tcPr>
            <w:tcW w:w="2700" w:type="dxa"/>
            <w:shd w:val="clear" w:color="auto" w:fill="EBF3FB"/>
          </w:tcPr>
          <w:p w14:paraId="7CE2F5F8" w14:textId="77777777" w:rsidR="00452DDF" w:rsidRDefault="00000000">
            <w:pPr>
              <w:spacing w:after="0"/>
            </w:pPr>
            <w:r>
              <w:rPr>
                <w:b/>
                <w:sz w:val="20"/>
              </w:rPr>
              <w:t>Architecture Design</w:t>
            </w:r>
          </w:p>
        </w:tc>
        <w:tc>
          <w:tcPr>
            <w:tcW w:w="2163" w:type="dxa"/>
          </w:tcPr>
          <w:p w14:paraId="2A031E09" w14:textId="77777777" w:rsidR="00452DDF" w:rsidRDefault="00000000">
            <w:pPr>
              <w:spacing w:after="0"/>
            </w:pPr>
            <w:r>
              <w:rPr>
                <w:sz w:val="20"/>
              </w:rPr>
              <w:t>Performance, cost, scalability tied to business goals</w:t>
            </w:r>
          </w:p>
        </w:tc>
        <w:tc>
          <w:tcPr>
            <w:tcW w:w="2163" w:type="dxa"/>
          </w:tcPr>
          <w:p w14:paraId="54A40B52" w14:textId="77777777" w:rsidR="00452DDF" w:rsidRDefault="00000000">
            <w:pPr>
              <w:spacing w:after="0"/>
            </w:pPr>
            <w:r>
              <w:rPr>
                <w:sz w:val="20"/>
              </w:rPr>
              <w:t>End-user workflows, adoption, change management</w:t>
            </w:r>
          </w:p>
        </w:tc>
        <w:tc>
          <w:tcPr>
            <w:tcW w:w="2000" w:type="dxa"/>
          </w:tcPr>
          <w:p w14:paraId="345330A4" w14:textId="77777777" w:rsidR="00452DDF" w:rsidRDefault="00000000">
            <w:pPr>
              <w:spacing w:after="0"/>
            </w:pPr>
            <w:r>
              <w:rPr>
                <w:sz w:val="20"/>
              </w:rPr>
              <w:t>Architecture blueprint, components, integrations, NFRs</w:t>
            </w:r>
          </w:p>
        </w:tc>
      </w:tr>
      <w:tr w:rsidR="00452DDF" w14:paraId="05E196DB" w14:textId="77777777">
        <w:tc>
          <w:tcPr>
            <w:tcW w:w="2700" w:type="dxa"/>
            <w:shd w:val="clear" w:color="auto" w:fill="EBF3FB"/>
          </w:tcPr>
          <w:p w14:paraId="5439F3D6" w14:textId="77777777" w:rsidR="00452DDF" w:rsidRDefault="00000000">
            <w:pPr>
              <w:spacing w:after="0"/>
            </w:pPr>
            <w:r>
              <w:rPr>
                <w:b/>
                <w:sz w:val="20"/>
              </w:rPr>
              <w:t>Customer Discovery</w:t>
            </w:r>
          </w:p>
        </w:tc>
        <w:tc>
          <w:tcPr>
            <w:tcW w:w="2163" w:type="dxa"/>
          </w:tcPr>
          <w:p w14:paraId="4E4C46A9" w14:textId="77777777" w:rsidR="00452DDF" w:rsidRDefault="00000000">
            <w:pPr>
              <w:spacing w:after="0"/>
            </w:pPr>
            <w:r>
              <w:rPr>
                <w:sz w:val="20"/>
              </w:rPr>
              <w:t>Pain points, strategic priorities, budget signals</w:t>
            </w:r>
          </w:p>
        </w:tc>
        <w:tc>
          <w:tcPr>
            <w:tcW w:w="2163" w:type="dxa"/>
          </w:tcPr>
          <w:p w14:paraId="5F3FAD24" w14:textId="77777777" w:rsidR="00452DDF" w:rsidRDefault="00000000">
            <w:pPr>
              <w:spacing w:after="0"/>
            </w:pPr>
            <w:r>
              <w:rPr>
                <w:sz w:val="20"/>
              </w:rPr>
              <w:t>Customer journey, friction points, user expectations</w:t>
            </w:r>
          </w:p>
        </w:tc>
        <w:tc>
          <w:tcPr>
            <w:tcW w:w="2000" w:type="dxa"/>
          </w:tcPr>
          <w:p w14:paraId="28E21F90" w14:textId="77777777" w:rsidR="00452DDF" w:rsidRDefault="00000000">
            <w:pPr>
              <w:spacing w:after="0"/>
            </w:pPr>
            <w:r>
              <w:rPr>
                <w:sz w:val="20"/>
              </w:rPr>
              <w:t>Current landscape, gaps, candidate solutions</w:t>
            </w:r>
          </w:p>
        </w:tc>
      </w:tr>
    </w:tbl>
    <w:p w14:paraId="3A65043C" w14:textId="77777777" w:rsidR="00452DDF" w:rsidRDefault="00452DDF">
      <w:pPr>
        <w:spacing w:after="240"/>
      </w:pPr>
    </w:p>
    <w:p w14:paraId="50603FDF" w14:textId="77777777" w:rsidR="00452DDF" w:rsidRDefault="00000000">
      <w:pPr>
        <w:pStyle w:val="Heading1"/>
      </w:pPr>
      <w:r>
        <w:t>What Good Looks Like</w:t>
      </w:r>
    </w:p>
    <w:p w14:paraId="177F3232" w14:textId="77777777" w:rsidR="00452DDF" w:rsidRDefault="00000000">
      <w:r>
        <w:t>The following standards define a high-quality debrief output from the skill. These are drawn from Innovation Hub template best practices and industry guidance on executive communications.</w:t>
      </w:r>
    </w:p>
    <w:p w14:paraId="05B55606" w14:textId="77777777" w:rsidR="00452DDF" w:rsidRDefault="00000000">
      <w:pPr>
        <w:pStyle w:val="ListParagraph"/>
        <w:numPr>
          <w:ilvl w:val="0"/>
          <w:numId w:val="1"/>
        </w:numPr>
        <w:spacing w:after="100"/>
      </w:pPr>
      <w:r>
        <w:rPr>
          <w:b/>
        </w:rPr>
        <w:t xml:space="preserve">Action items are first. </w:t>
      </w:r>
      <w:r>
        <w:t>The opening section lists every confirmed next step with a named owner and a due date or timeframe. Nothing is buried.</w:t>
      </w:r>
    </w:p>
    <w:p w14:paraId="18B1DDF4" w14:textId="77777777" w:rsidR="00452DDF" w:rsidRDefault="00000000">
      <w:pPr>
        <w:pStyle w:val="ListParagraph"/>
        <w:numPr>
          <w:ilvl w:val="0"/>
          <w:numId w:val="1"/>
        </w:numPr>
        <w:spacing w:after="100"/>
      </w:pPr>
      <w:r>
        <w:rPr>
          <w:b/>
        </w:rPr>
        <w:lastRenderedPageBreak/>
        <w:t xml:space="preserve">Customer email fits one screen. </w:t>
      </w:r>
      <w:r>
        <w:t>The external follow-up is 250–400 words. No dense paragraphs, no methodology detail, no internal jargon. Three to five key points maximum per section.</w:t>
      </w:r>
    </w:p>
    <w:p w14:paraId="7A9C8ED6" w14:textId="77777777" w:rsidR="00452DDF" w:rsidRDefault="00000000">
      <w:pPr>
        <w:pStyle w:val="ListParagraph"/>
        <w:numPr>
          <w:ilvl w:val="0"/>
          <w:numId w:val="1"/>
        </w:numPr>
        <w:spacing w:after="100"/>
      </w:pPr>
      <w:r>
        <w:rPr>
          <w:b/>
        </w:rPr>
        <w:t xml:space="preserve">All three BXT dimensions are present. </w:t>
      </w:r>
      <w:r>
        <w:t>Business outcomes, experience considerations, and technology decisions each have at least one substantive, transcript-grounded point. Missing dimensions are flagged, not silently omitted.</w:t>
      </w:r>
    </w:p>
    <w:p w14:paraId="6320A698" w14:textId="77777777" w:rsidR="00452DDF" w:rsidRDefault="00000000">
      <w:pPr>
        <w:pStyle w:val="ListParagraph"/>
        <w:numPr>
          <w:ilvl w:val="0"/>
          <w:numId w:val="1"/>
        </w:numPr>
        <w:spacing w:after="100"/>
      </w:pPr>
      <w:r>
        <w:rPr>
          <w:b/>
        </w:rPr>
        <w:t xml:space="preserve">Decisions and open items are separated. </w:t>
      </w:r>
      <w:r>
        <w:t>A confirmed decision is stated as a decision. A question still under debate is listed as an open item, not dressed up as a decision to fill space.</w:t>
      </w:r>
    </w:p>
    <w:p w14:paraId="76A402FC" w14:textId="77777777" w:rsidR="00452DDF" w:rsidRDefault="00000000">
      <w:pPr>
        <w:pStyle w:val="ListParagraph"/>
        <w:numPr>
          <w:ilvl w:val="0"/>
          <w:numId w:val="1"/>
        </w:numPr>
        <w:spacing w:after="100"/>
      </w:pPr>
      <w:r>
        <w:rPr>
          <w:b/>
        </w:rPr>
        <w:t xml:space="preserve">Internal content does not leak. </w:t>
      </w:r>
      <w:r>
        <w:t>The customer email contains no risk commentary, competitive analysis, internal team observations, or unconfirmed product roadmap items.</w:t>
      </w:r>
    </w:p>
    <w:p w14:paraId="0D1381B9" w14:textId="77777777" w:rsidR="00452DDF" w:rsidRDefault="00000000">
      <w:pPr>
        <w:pStyle w:val="ListParagraph"/>
        <w:numPr>
          <w:ilvl w:val="0"/>
          <w:numId w:val="1"/>
        </w:numPr>
        <w:spacing w:after="240"/>
      </w:pPr>
      <w:r>
        <w:rPr>
          <w:b/>
        </w:rPr>
        <w:t xml:space="preserve">Sent within 24 hours. </w:t>
      </w:r>
      <w:r>
        <w:t>The skill reduces drafting time to minutes. The architect reviews, approves, and sends the same day as the session, while momentum is high and the session is fresh in the customer’s mind.</w:t>
      </w:r>
    </w:p>
    <w:p w14:paraId="40645991" w14:textId="77777777" w:rsidR="00452DDF" w:rsidRDefault="00000000">
      <w:pPr>
        <w:pStyle w:val="Heading1"/>
      </w:pPr>
      <w:r>
        <w:t>What the Skill Does Not Do</w:t>
      </w:r>
    </w:p>
    <w:p w14:paraId="64CCF4D4" w14:textId="77777777" w:rsidR="00452DDF" w:rsidRDefault="00000000">
      <w:r>
        <w:t>These boundaries are by design, not limitation.</w:t>
      </w:r>
    </w:p>
    <w:p w14:paraId="25D94B19" w14:textId="77777777" w:rsidR="00452DDF" w:rsidRDefault="00000000">
      <w:pPr>
        <w:pStyle w:val="ListParagraph"/>
        <w:numPr>
          <w:ilvl w:val="0"/>
          <w:numId w:val="1"/>
        </w:numPr>
        <w:spacing w:after="100"/>
      </w:pPr>
      <w:r>
        <w:t xml:space="preserve">It does not invent commitments. If a date, owner, or decision was not stated in the session, it is marked </w:t>
      </w:r>
      <w:r>
        <w:rPr>
          <w:i/>
        </w:rPr>
        <w:t>[TBC]</w:t>
      </w:r>
      <w:r>
        <w:t xml:space="preserve"> and returned for the architect to resolve.</w:t>
      </w:r>
    </w:p>
    <w:p w14:paraId="1C22CF02" w14:textId="77777777" w:rsidR="00452DDF" w:rsidRDefault="00000000">
      <w:pPr>
        <w:pStyle w:val="ListParagraph"/>
        <w:numPr>
          <w:ilvl w:val="0"/>
          <w:numId w:val="1"/>
        </w:numPr>
        <w:spacing w:after="100"/>
      </w:pPr>
      <w:r>
        <w:t>It does not add product capabilities, roadmap items, pricing, or licensing detail that were not mentioned in the transcript.</w:t>
      </w:r>
    </w:p>
    <w:p w14:paraId="7E6C39CB" w14:textId="77777777" w:rsidR="00452DDF" w:rsidRDefault="00000000">
      <w:pPr>
        <w:pStyle w:val="ListParagraph"/>
        <w:numPr>
          <w:ilvl w:val="0"/>
          <w:numId w:val="1"/>
        </w:numPr>
        <w:spacing w:after="100"/>
      </w:pPr>
      <w:r>
        <w:t>It does not send anything. The architect sends on their own authority after reviewing the draft.</w:t>
      </w:r>
    </w:p>
    <w:p w14:paraId="18F2182F" w14:textId="77777777" w:rsidR="00452DDF" w:rsidRDefault="00000000">
      <w:pPr>
        <w:pStyle w:val="ListParagraph"/>
        <w:numPr>
          <w:ilvl w:val="0"/>
          <w:numId w:val="1"/>
        </w:numPr>
        <w:spacing w:after="240"/>
      </w:pPr>
      <w:r>
        <w:t>It does not replace the architect’s judgment. It accelerates the drafting work so that judgment can be applied to what matters — the quality of the relationship and the accuracy of the commitments.</w:t>
      </w:r>
    </w:p>
    <w:sectPr w:rsidR="00452DDF">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35C06" w14:textId="77777777" w:rsidR="00F564C8" w:rsidRDefault="00F564C8" w:rsidP="006452C3">
      <w:pPr>
        <w:spacing w:after="0" w:line="240" w:lineRule="auto"/>
      </w:pPr>
      <w:r>
        <w:separator/>
      </w:r>
    </w:p>
  </w:endnote>
  <w:endnote w:type="continuationSeparator" w:id="0">
    <w:p w14:paraId="53CFD931" w14:textId="77777777" w:rsidR="00F564C8" w:rsidRDefault="00F564C8" w:rsidP="00645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84B" w14:textId="77777777" w:rsidR="006452C3" w:rsidRPr="00E6109C" w:rsidRDefault="009C0E91">
    <w:pPr>
      <w:pStyle w:val="Footer"/>
      <w:rPr>
        <w:lang w:val="en-GB"/>
      </w:rPr>
    </w:pPr>
    <w:r w:rsidRPr="004062A3">
      <w:rPr>
        <w:noProof/>
      </w:rPr>
      <w:drawing>
        <wp:anchor distT="0" distB="0" distL="114300" distR="114300" simplePos="0" relativeHeight="251658240" behindDoc="1" locked="0" layoutInCell="1" allowOverlap="1" wp14:anchorId="61114903" wp14:editId="46736585">
          <wp:simplePos x="0" y="0"/>
          <wp:positionH relativeFrom="page">
            <wp:posOffset>2020570</wp:posOffset>
          </wp:positionH>
          <wp:positionV relativeFrom="paragraph">
            <wp:posOffset>-4625340</wp:posOffset>
          </wp:positionV>
          <wp:extent cx="5731510" cy="5245735"/>
          <wp:effectExtent l="0" t="0" r="2540" b="0"/>
          <wp:wrapNone/>
          <wp:docPr id="9" name="Picture 8" descr="The image depicts a dynamic, abstract composition of colorful, transparent cubes floating in a three-dimensional, seemingly random pattern.&#10;&#10;AI-generated content may be incorrect.">
            <a:extLst xmlns:a="http://schemas.openxmlformats.org/drawingml/2006/main">
              <a:ext uri="{FF2B5EF4-FFF2-40B4-BE49-F238E27FC236}">
                <a16:creationId xmlns:a16="http://schemas.microsoft.com/office/drawing/2014/main" id="{E4127B95-A173-246A-5DCD-A2477BFC42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The image depicts a dynamic, abstract composition of colorful, transparent cubes floating in a three-dimensional, seemingly random pattern.&#10;&#10;AI-generated content may be incorrect.">
                    <a:extLst>
                      <a:ext uri="{FF2B5EF4-FFF2-40B4-BE49-F238E27FC236}">
                        <a16:creationId xmlns:a16="http://schemas.microsoft.com/office/drawing/2014/main" id="{E4127B95-A173-246A-5DCD-A2477BFC42FD}"/>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a:stretch/>
                </pic:blipFill>
                <pic:spPr>
                  <a:xfrm>
                    <a:off x="0" y="0"/>
                    <a:ext cx="5731510" cy="5245735"/>
                  </a:xfrm>
                  <a:prstGeom prst="rect">
                    <a:avLst/>
                  </a:prstGeom>
                </pic:spPr>
              </pic:pic>
            </a:graphicData>
          </a:graphic>
          <wp14:sizeRelH relativeFrom="page">
            <wp14:pctWidth>0</wp14:pctWidth>
          </wp14:sizeRelH>
          <wp14:sizeRelV relativeFrom="page">
            <wp14:pctHeight>0</wp14:pctHeight>
          </wp14:sizeRelV>
        </wp:anchor>
      </w:drawing>
    </w:r>
    <w:r w:rsidR="00E6109C">
      <w:rPr>
        <w:lang w:val="en-GB"/>
      </w:rPr>
      <w:t>Microsoft Innovation Hub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165BD" w14:textId="77777777" w:rsidR="00F564C8" w:rsidRDefault="00F564C8" w:rsidP="006452C3">
      <w:pPr>
        <w:spacing w:after="0" w:line="240" w:lineRule="auto"/>
      </w:pPr>
      <w:r>
        <w:separator/>
      </w:r>
    </w:p>
  </w:footnote>
  <w:footnote w:type="continuationSeparator" w:id="0">
    <w:p w14:paraId="19E4FF8C" w14:textId="77777777" w:rsidR="00F564C8" w:rsidRDefault="00F564C8" w:rsidP="00645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62BD" w14:textId="77777777" w:rsidR="006452C3" w:rsidRDefault="00E6109C">
    <w:pPr>
      <w:pStyle w:val="Header"/>
    </w:pPr>
    <w:r w:rsidRPr="00E6109C">
      <w:rPr>
        <w:noProof/>
      </w:rPr>
      <w:drawing>
        <wp:inline distT="0" distB="0" distL="0" distR="0" wp14:anchorId="46CFBBF4" wp14:editId="2E98F4D8">
          <wp:extent cx="1366440" cy="292608"/>
          <wp:effectExtent l="0" t="0" r="5715" b="0"/>
          <wp:docPr id="7" name="MS logo gray - EMF">
            <a:extLst xmlns:a="http://schemas.openxmlformats.org/drawingml/2006/main">
              <a:ext uri="{FF2B5EF4-FFF2-40B4-BE49-F238E27FC236}">
                <a16:creationId xmlns:a16="http://schemas.microsoft.com/office/drawing/2014/main" id="{1A134BE8-0BA3-4A4E-8C07-9127207B8A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S logo gray - EMF">
                    <a:extLst>
                      <a:ext uri="{FF2B5EF4-FFF2-40B4-BE49-F238E27FC236}">
                        <a16:creationId xmlns:a16="http://schemas.microsoft.com/office/drawing/2014/main" id="{1A134BE8-0BA3-4A4E-8C07-9127207B8A28}"/>
                      </a:ext>
                    </a:extLst>
                  </pic:cNvPr>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bwMode="black">
                  <a:xfrm>
                    <a:off x="0" y="0"/>
                    <a:ext cx="1366440" cy="2926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F0B7D"/>
    <w:multiLevelType w:val="hybridMultilevel"/>
    <w:tmpl w:val="CA2C86FE"/>
    <w:lvl w:ilvl="0" w:tplc="450C2C7C">
      <w:start w:val="1"/>
      <w:numFmt w:val="decimal"/>
      <w:lvlText w:val="%1."/>
      <w:lvlJc w:val="left"/>
      <w:pPr>
        <w:ind w:left="720" w:hanging="360"/>
      </w:pPr>
    </w:lvl>
    <w:lvl w:ilvl="1" w:tplc="F1200610">
      <w:numFmt w:val="decimal"/>
      <w:lvlText w:val=""/>
      <w:lvlJc w:val="left"/>
    </w:lvl>
    <w:lvl w:ilvl="2" w:tplc="CC4034B2">
      <w:numFmt w:val="decimal"/>
      <w:lvlText w:val=""/>
      <w:lvlJc w:val="left"/>
    </w:lvl>
    <w:lvl w:ilvl="3" w:tplc="E1400F4E">
      <w:numFmt w:val="decimal"/>
      <w:lvlText w:val=""/>
      <w:lvlJc w:val="left"/>
    </w:lvl>
    <w:lvl w:ilvl="4" w:tplc="760ADF04">
      <w:numFmt w:val="decimal"/>
      <w:lvlText w:val=""/>
      <w:lvlJc w:val="left"/>
    </w:lvl>
    <w:lvl w:ilvl="5" w:tplc="49800614">
      <w:numFmt w:val="decimal"/>
      <w:lvlText w:val=""/>
      <w:lvlJc w:val="left"/>
    </w:lvl>
    <w:lvl w:ilvl="6" w:tplc="ABC425F0">
      <w:numFmt w:val="decimal"/>
      <w:lvlText w:val=""/>
      <w:lvlJc w:val="left"/>
    </w:lvl>
    <w:lvl w:ilvl="7" w:tplc="CED8DE4A">
      <w:numFmt w:val="decimal"/>
      <w:lvlText w:val=""/>
      <w:lvlJc w:val="left"/>
    </w:lvl>
    <w:lvl w:ilvl="8" w:tplc="754E9682">
      <w:numFmt w:val="decimal"/>
      <w:lvlText w:val=""/>
      <w:lvlJc w:val="left"/>
    </w:lvl>
  </w:abstractNum>
  <w:abstractNum w:abstractNumId="1" w15:restartNumberingAfterBreak="0">
    <w:nsid w:val="587B37EF"/>
    <w:multiLevelType w:val="hybridMultilevel"/>
    <w:tmpl w:val="7500DF4A"/>
    <w:lvl w:ilvl="0" w:tplc="DA9666EC">
      <w:start w:val="1"/>
      <w:numFmt w:val="bullet"/>
      <w:lvlText w:val="●"/>
      <w:lvlJc w:val="left"/>
      <w:pPr>
        <w:ind w:left="720" w:hanging="360"/>
      </w:pPr>
      <w:rPr>
        <w:rFonts w:ascii="Symbol" w:hAnsi="Symbol" w:hint="default"/>
      </w:rPr>
    </w:lvl>
    <w:lvl w:ilvl="1" w:tplc="F8601176">
      <w:numFmt w:val="decimal"/>
      <w:lvlText w:val=""/>
      <w:lvlJc w:val="left"/>
    </w:lvl>
    <w:lvl w:ilvl="2" w:tplc="3F66BC3C">
      <w:numFmt w:val="decimal"/>
      <w:lvlText w:val=""/>
      <w:lvlJc w:val="left"/>
    </w:lvl>
    <w:lvl w:ilvl="3" w:tplc="ED1CF890">
      <w:numFmt w:val="decimal"/>
      <w:lvlText w:val=""/>
      <w:lvlJc w:val="left"/>
    </w:lvl>
    <w:lvl w:ilvl="4" w:tplc="54C8E7E2">
      <w:numFmt w:val="decimal"/>
      <w:lvlText w:val=""/>
      <w:lvlJc w:val="left"/>
    </w:lvl>
    <w:lvl w:ilvl="5" w:tplc="77D8FFF4">
      <w:numFmt w:val="decimal"/>
      <w:lvlText w:val=""/>
      <w:lvlJc w:val="left"/>
    </w:lvl>
    <w:lvl w:ilvl="6" w:tplc="F626AEA4">
      <w:numFmt w:val="decimal"/>
      <w:lvlText w:val=""/>
      <w:lvlJc w:val="left"/>
    </w:lvl>
    <w:lvl w:ilvl="7" w:tplc="62FCEEA0">
      <w:numFmt w:val="decimal"/>
      <w:lvlText w:val=""/>
      <w:lvlJc w:val="left"/>
    </w:lvl>
    <w:lvl w:ilvl="8" w:tplc="14AEB68E">
      <w:numFmt w:val="decimal"/>
      <w:lvlText w:val=""/>
      <w:lvlJc w:val="left"/>
    </w:lvl>
  </w:abstractNum>
  <w:num w:numId="1" w16cid:durableId="2140343091">
    <w:abstractNumId w:val="1"/>
  </w:num>
  <w:num w:numId="2" w16cid:durableId="17971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D4B"/>
    <w:rsid w:val="0002283F"/>
    <w:rsid w:val="000A47C7"/>
    <w:rsid w:val="00166D4B"/>
    <w:rsid w:val="0025129E"/>
    <w:rsid w:val="00305657"/>
    <w:rsid w:val="004062A3"/>
    <w:rsid w:val="00452DDF"/>
    <w:rsid w:val="004A55F6"/>
    <w:rsid w:val="004D25A4"/>
    <w:rsid w:val="005A5732"/>
    <w:rsid w:val="00622E2D"/>
    <w:rsid w:val="006452C3"/>
    <w:rsid w:val="00657735"/>
    <w:rsid w:val="009C0E91"/>
    <w:rsid w:val="00A06D9D"/>
    <w:rsid w:val="00E6109C"/>
    <w:rsid w:val="00F34641"/>
    <w:rsid w:val="00F564C8"/>
    <w:rsid w:val="00FC6E2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9EE67"/>
  <w15:chartTrackingRefBased/>
  <w15:docId w15:val="{7A5BA904-8666-4F5E-830D-BD5BBD114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D4B"/>
    <w:rPr>
      <w:rFonts w:eastAsiaTheme="majorEastAsia" w:cstheme="majorBidi"/>
      <w:color w:val="272727" w:themeColor="text1" w:themeTint="D8"/>
    </w:rPr>
  </w:style>
  <w:style w:type="paragraph" w:styleId="Title">
    <w:name w:val="Title"/>
    <w:basedOn w:val="Normal"/>
    <w:next w:val="Normal"/>
    <w:link w:val="TitleChar"/>
    <w:uiPriority w:val="10"/>
    <w:qFormat/>
    <w:rsid w:val="00166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D4B"/>
    <w:pPr>
      <w:spacing w:before="160"/>
      <w:jc w:val="center"/>
    </w:pPr>
    <w:rPr>
      <w:i/>
      <w:iCs/>
      <w:color w:val="404040" w:themeColor="text1" w:themeTint="BF"/>
    </w:rPr>
  </w:style>
  <w:style w:type="character" w:customStyle="1" w:styleId="QuoteChar">
    <w:name w:val="Quote Char"/>
    <w:basedOn w:val="DefaultParagraphFont"/>
    <w:link w:val="Quote"/>
    <w:uiPriority w:val="29"/>
    <w:rsid w:val="00166D4B"/>
    <w:rPr>
      <w:i/>
      <w:iCs/>
      <w:color w:val="404040" w:themeColor="text1" w:themeTint="BF"/>
    </w:rPr>
  </w:style>
  <w:style w:type="paragraph" w:styleId="ListParagraph">
    <w:name w:val="List Paragraph"/>
    <w:basedOn w:val="Normal"/>
    <w:uiPriority w:val="34"/>
    <w:qFormat/>
    <w:rsid w:val="00166D4B"/>
    <w:pPr>
      <w:ind w:left="720"/>
      <w:contextualSpacing/>
    </w:pPr>
  </w:style>
  <w:style w:type="character" w:styleId="IntenseEmphasis">
    <w:name w:val="Intense Emphasis"/>
    <w:basedOn w:val="DefaultParagraphFont"/>
    <w:uiPriority w:val="21"/>
    <w:qFormat/>
    <w:rsid w:val="00166D4B"/>
    <w:rPr>
      <w:i/>
      <w:iCs/>
      <w:color w:val="0F4761" w:themeColor="accent1" w:themeShade="BF"/>
    </w:rPr>
  </w:style>
  <w:style w:type="paragraph" w:styleId="IntenseQuote">
    <w:name w:val="Intense Quote"/>
    <w:basedOn w:val="Normal"/>
    <w:next w:val="Normal"/>
    <w:link w:val="IntenseQuoteChar"/>
    <w:uiPriority w:val="30"/>
    <w:qFormat/>
    <w:rsid w:val="00166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D4B"/>
    <w:rPr>
      <w:i/>
      <w:iCs/>
      <w:color w:val="0F4761" w:themeColor="accent1" w:themeShade="BF"/>
    </w:rPr>
  </w:style>
  <w:style w:type="character" w:styleId="IntenseReference">
    <w:name w:val="Intense Reference"/>
    <w:basedOn w:val="DefaultParagraphFont"/>
    <w:uiPriority w:val="32"/>
    <w:qFormat/>
    <w:rsid w:val="00166D4B"/>
    <w:rPr>
      <w:b/>
      <w:bCs/>
      <w:smallCaps/>
      <w:color w:val="0F4761" w:themeColor="accent1" w:themeShade="BF"/>
      <w:spacing w:val="5"/>
    </w:rPr>
  </w:style>
  <w:style w:type="paragraph" w:styleId="Header">
    <w:name w:val="header"/>
    <w:basedOn w:val="Normal"/>
    <w:link w:val="HeaderChar"/>
    <w:uiPriority w:val="99"/>
    <w:unhideWhenUsed/>
    <w:rsid w:val="006452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52C3"/>
  </w:style>
  <w:style w:type="paragraph" w:styleId="Footer">
    <w:name w:val="footer"/>
    <w:basedOn w:val="Normal"/>
    <w:link w:val="FooterChar"/>
    <w:uiPriority w:val="99"/>
    <w:unhideWhenUsed/>
    <w:rsid w:val="006452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52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B9140-52DF-41C5-B0C2-4D36A2A400A1}">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1322</Words>
  <Characters>7538</Characters>
  <Application>Microsoft Office Word</Application>
  <DocSecurity>0</DocSecurity>
  <Lines>62</Lines>
  <Paragraphs>17</Paragraphs>
  <ScaleCrop>false</ScaleCrop>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Baur (Innovation Hub)</dc:creator>
  <cp:keywords/>
  <dc:description/>
  <cp:lastModifiedBy>Ben Baur (Innovation Hub)</cp:lastModifiedBy>
  <cp:revision>3</cp:revision>
  <dcterms:created xsi:type="dcterms:W3CDTF">2026-06-26T12:32:00Z</dcterms:created>
  <dcterms:modified xsi:type="dcterms:W3CDTF">2026-06-29T08:55:00Z</dcterms:modified>
</cp:coreProperties>
</file>