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11 settembre 2026, versione 2.4.2.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Anche le registrazioni video (MP4/MOV) sono accettate: il</w:t>
      </w:r>
      <w:r>
        <w:t xml:space="preserve"> </w:t>
      </w:r>
      <w:r>
        <w:t xml:space="preserve">suono viene estratto, il video resta invariato con la trascrizione e</w:t>
      </w:r>
      <w:r>
        <w:t xml:space="preserve"> </w:t>
      </w:r>
      <w:r>
        <w:t xml:space="preserve">lascia il computer solo se lo si include esplicitamente nell'export</w:t>
      </w:r>
      <w:r>
        <w:t xml:space="preserve"> </w:t>
      </w:r>
      <w:r>
        <w:t xml:space="preserve">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Separazione dei parlanti: calcola profili vocali e li raggruppa per parlante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2.4.2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SpeechBrain</w:t>
      </w:r>
      <w:r>
        <w:t xml:space="preserve"> </w:t>
      </w:r>
      <w:r>
        <w:t xml:space="preserve">ECAPA-TDNN)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2026-09-12T10:34:08Z</dcterms:created>
  <dcterms:modified xsi:type="dcterms:W3CDTF">2026-09-12T10:34:08Z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