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13 septembre 2026, LocalTranscript 2.5.0.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ou vidéo est lu depuis le système de</w:t>
      </w:r>
      <w:r>
        <w:t xml:space="preserve"> </w:t>
      </w:r>
      <w:r>
        <w:t xml:space="preserve">fichiers local de l'appareil (audio : MP3, WAV, M4A, OGG, FLAC ;</w:t>
      </w:r>
      <w:r>
        <w:t xml:space="preserve"> </w:t>
      </w:r>
      <w:r>
        <w:t xml:space="preserve">vidéo : MP4, MOV, M4V en H.264/HEVC — d'une vidéo seule la piste</w:t>
      </w:r>
      <w:r>
        <w:t xml:space="preserve"> </w:t>
      </w:r>
      <w:r>
        <w:t xml:space="preserve">audio est lue, la vidéo n'est jamais convertie).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 pyannote community-1)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 (pour une vidéo : la piste audio en</w:t>
      </w:r>
      <w:r>
        <w:t xml:space="preserve"> </w:t>
      </w:r>
      <w:r>
        <w:t xml:space="preserve">MP3 et le fichier vidéo inchangé),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est publié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2026-09-13T22:13:31Z</dcterms:created>
  <dcterms:modified xsi:type="dcterms:W3CDTF">2026-09-13T22:13:31Z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