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10 septembre 2026, version 2.2.0.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Tout cela se passe sur votre 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Séparation des locuteurs : calcule des profils de voix et les regroupe par locuteur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</w:tbl>
    <w:p>
      <w:pPr>
        <w:pStyle w:val="BodyText"/>
      </w:pPr>
      <w:r>
        <w:t xml:space="preserve">Les trois modèles sont contenus dans le paquet de l'application.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2.2.0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SpeechBrain</w:t>
      </w:r>
      <w:r>
        <w:t xml:space="preserve"> </w:t>
      </w:r>
      <w:r>
        <w:t xml:space="preserve">ECAPA-TDNN)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peut être utilisée et adaptée librement.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2026-09-10T19:48:18Z</dcterms:created>
  <dcterms:modified xsi:type="dcterms:W3CDTF">2026-09-10T19:48:18Z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