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10 September 2026, version</w:t>
      </w:r>
      <w:r>
        <w:t xml:space="preserve"> </w:t>
      </w:r>
      <w:r>
        <w:t xml:space="preserve">2.2.0.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All of it happens</w:t>
      </w:r>
      <w:r>
        <w:t xml:space="preserve"> </w:t>
      </w:r>
      <w:r>
        <w:t xml:space="preserve">on your 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Speaker separation: computes voice profiles and clusters them into speakers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</w:t>
      </w:r>
      <w:r>
        <w:t xml:space="preserve">) and enrich dossier (</w:t>
      </w:r>
      <w:r>
        <w:rPr>
          <w:rStyle w:val="VerbatimChar"/>
        </w:rPr>
        <w:t xml:space="preserve">.enrich.zip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2.2.0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SpeechBrain ECAPA-TDNN)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2026-09-10T10:47:23Z</dcterms:created>
  <dcterms:modified xsi:type="dcterms:W3CDTF">2026-09-10T10:47:23Z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