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11. September 2026, LocalTranscript 2.4.0.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Audio- oder Videodatei wird vom lokalen Dateisystem</w:t>
      </w:r>
      <w:r>
        <w:t xml:space="preserve"> </w:t>
      </w:r>
      <w:r>
        <w:t xml:space="preserve">des Endgeräts eingelesen (Audio: MP3, WAV, M4A, OGG, FLAC; Video:</w:t>
      </w:r>
      <w:r>
        <w:t xml:space="preserve"> </w:t>
      </w:r>
      <w:r>
        <w:t xml:space="preserve">MP4, MOV, M4V mit H.264/HEVC — aus Video wird nur die Tonspur</w:t>
      </w:r>
      <w:r>
        <w:t xml:space="preserve"> </w:t>
      </w:r>
      <w:r>
        <w:t xml:space="preserve">gelesen, das Video wird nie umgewandelt).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SpeechBrain ECAPA)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 (bei Video: der Tonspur als MP3 und der</w:t>
      </w:r>
      <w:r>
        <w:t xml:space="preserve"> </w:t>
      </w:r>
      <w:r>
        <w:t xml:space="preserve">unveränderten Videodatei),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 Bei einer</w:t>
      </w:r>
      <w:r>
        <w:t xml:space="preserve"> </w:t>
      </w:r>
      <w:r>
        <w:t xml:space="preserve">Videoaufnahme liegt die Videodatei unverändert im Ordner des</w:t>
      </w:r>
      <w:r>
        <w:t xml:space="preserve"> </w:t>
      </w:r>
      <w:r>
        <w:t xml:space="preserve">Transkripts (Gesichter sind personenbezogene, bei Identifizierbarkeit</w:t>
      </w:r>
      <w:r>
        <w:t xml:space="preserve"> </w:t>
      </w:r>
      <w:r>
        <w:t xml:space="preserve">biometrische Daten); der enrich-Export enthält nur den Ton, der</w:t>
      </w:r>
      <w:r>
        <w:t xml:space="preserve"> </w:t>
      </w:r>
      <w:r>
        <w:t xml:space="preserve">REFI-QDA-Export das Video nur auf ausdrückliche Wahl.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darf frei verwendet und angepasst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2026-09-11T10:55:46Z</dcterms:created>
  <dcterms:modified xsi:type="dcterms:W3CDTF">2026-09-11T10:55:46Z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