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897f0a809254f9c0e14c6003ab5a1b7c8d3786"/>
    <w:p>
      <w:pPr>
        <w:pStyle w:val="Heading1"/>
      </w:pPr>
      <w:r>
        <w:t xml:space="preserve">TurnScript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13 settembre 2026, versione 2.5.0.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TurnScript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</w:t>
            </w:r>
          </w:p>
        </w:tc>
        <w:tc>
          <w:tcPr/>
          <w:p>
            <w:pPr>
              <w:pStyle w:val="Compact"/>
            </w:pPr>
            <w:r>
              <w:t xml:space="preserve">modello pyannote community-1 (CC BY 4.0), convertito in Core ML e quantizzato da Argmax;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sul Neural Engine del Mac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TurnScript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TurnScript (già LocalTranscript) 2.5.0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pyannote</w:t>
      </w:r>
      <w:r>
        <w:t xml:space="preserve"> </w:t>
      </w:r>
      <w:r>
        <w:t xml:space="preserve">community-1)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è pubblicata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2026-09-14T21:51:59Z</dcterms:created>
  <dcterms:modified xsi:type="dcterms:W3CDTF">2026-09-14T21:51:59Z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