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7004494897c1f37e3e8f36ed8d3a1cfba087ab"/>
    <w:p>
      <w:pPr>
        <w:pStyle w:val="Heading1"/>
      </w:pPr>
      <w:r>
        <w:t xml:space="preserve">TurnScript — Descrizione del trattamento dei dati</w:t>
      </w:r>
    </w:p>
    <w:p>
      <w:pPr>
        <w:pStyle w:val="FirstParagraph"/>
      </w:pPr>
      <w:r>
        <w:t xml:space="preserve">Blocco di testo da inserire in un registro delle attività di</w:t>
      </w:r>
      <w:r>
        <w:t xml:space="preserve"> </w:t>
      </w:r>
      <w:r>
        <w:t xml:space="preserve">trattamento, una valutazione d'impatto sulla protezione dei dati, una</w:t>
      </w:r>
      <w:r>
        <w:t xml:space="preserve"> </w:t>
      </w:r>
      <w:r>
        <w:t xml:space="preserve">domanda al comitato etico o un piano di gestione dei dati. Stato al</w:t>
      </w:r>
      <w:r>
        <w:t xml:space="preserve"> </w:t>
      </w:r>
      <w:r>
        <w:t xml:space="preserve">13 settembre 2026, TurnScript (già LocalTranscript) 2.5.0. Le voci tra</w:t>
      </w:r>
      <w:r>
        <w:t xml:space="preserve"> </w:t>
      </w:r>
      <w:r>
        <w:rPr>
          <w:rStyle w:val="VerbatimChar"/>
        </w:rPr>
        <w:t xml:space="preserve">[parentesi quadre]</w:t>
      </w:r>
      <w:r>
        <w:t xml:space="preserve"> </w:t>
      </w:r>
      <w:r>
        <w:t xml:space="preserve">vengono completate dal titolare del trattamento.</w:t>
      </w:r>
    </w:p>
    <w:p>
      <w:pPr>
        <w:pStyle w:val="BodyText"/>
      </w:pPr>
      <w:r>
        <w:t xml:space="preserve">Il testo descrive che cosa il software fa e che cosa non fa. La</w:t>
      </w:r>
      <w:r>
        <w:t xml:space="preserve"> </w:t>
      </w:r>
      <w:r>
        <w:t xml:space="preserve">qualificazione giuridica del proprio trattamento — secondo il GDPR o la</w:t>
      </w:r>
      <w:r>
        <w:t xml:space="preserve"> </w:t>
      </w:r>
      <w:r>
        <w:t xml:space="preserve">nLPD svizzera — spetta al titolare; il testo non sostituisce una</w:t>
      </w:r>
      <w:r>
        <w:t xml:space="preserve"> </w:t>
      </w:r>
      <w:r>
        <w:t xml:space="preserve">consulenza legale.</w:t>
      </w:r>
    </w:p>
    <w:p>
      <w:r>
        <w:pict>
          <v:rect style="width:0;height:1.5pt" o:hralign="center" o:hrstd="t" o:hr="t"/>
        </w:pict>
      </w:r>
    </w:p>
    <w:bookmarkStart w:id="10" w:name="Xc468b286a288fc56083b40fd71aac5217fe8273"/>
    <w:p>
      <w:pPr>
        <w:pStyle w:val="Heading2"/>
      </w:pPr>
      <w:r>
        <w:t xml:space="preserve">1. Software impiegato</w:t>
      </w:r>
    </w:p>
    <w:p>
      <w:pPr>
        <w:pStyle w:val="FirstParagraph"/>
      </w:pPr>
      <w:r>
        <w:t xml:space="preserve">TurnScript (già LocalTranscript), versione</w:t>
      </w:r>
      <w:r>
        <w:t xml:space="preserve"> </w:t>
      </w:r>
      <w:r>
        <w:rPr>
          <w:rStyle w:val="VerbatimChar"/>
        </w:rPr>
        <w:t xml:space="preserve">[2.5.0]</w:t>
      </w:r>
      <w:r>
        <w:t xml:space="preserve">. Software libero sotto</w:t>
      </w:r>
      <w:r>
        <w:t xml:space="preserve"> </w:t>
      </w:r>
      <w:r>
        <w:t xml:space="preserve">AGPL-3.0-or-later, sviluppato al B/IAS – Basel Institut für angewandte</w:t>
      </w:r>
      <w:r>
        <w:t xml:space="preserve"> </w:t>
      </w:r>
      <w:r>
        <w:t xml:space="preserve">Stadtforschung. Codice sorgente pubblico: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. Il software gira</w:t>
      </w:r>
      <w:r>
        <w:t xml:space="preserve"> </w:t>
      </w:r>
      <w:r>
        <w:t xml:space="preserve">come applicazione locale su macOS (Apple Silicon) ed è installato e</w:t>
      </w:r>
      <w:r>
        <w:t xml:space="preserve"> </w:t>
      </w:r>
      <w:r>
        <w:t xml:space="preserve">gestito dal titolare stesso.</w:t>
      </w:r>
    </w:p>
    <w:bookmarkEnd w:id="10"/>
    <w:bookmarkStart w:id="11" w:name="X77c90a16b6c25d0f3ea6cb884596077b3ffea9d"/>
    <w:p>
      <w:pPr>
        <w:pStyle w:val="Heading2"/>
      </w:pPr>
      <w:r>
        <w:t xml:space="preserve">2. Finalità del trattamento</w:t>
      </w:r>
    </w:p>
    <w:p>
      <w:pPr>
        <w:pStyle w:val="FirstParagraph"/>
      </w:pPr>
      <w:r>
        <w:t xml:space="preserve">Conversione di registrazioni audio</w:t>
      </w:r>
      <w:r>
        <w:t xml:space="preserve"> </w:t>
      </w:r>
      <w:r>
        <w:rPr>
          <w:rStyle w:val="VerbatimChar"/>
        </w:rPr>
        <w:t xml:space="preserve">[p. es. interviste semi-strutturate nel progetto …]</w:t>
      </w:r>
      <w:r>
        <w:t xml:space="preserve"> </w:t>
      </w:r>
      <w:r>
        <w:t xml:space="preserve">in testo con codici temporali e attribuzione dei</w:t>
      </w:r>
      <w:r>
        <w:t xml:space="preserve"> </w:t>
      </w:r>
      <w:r>
        <w:t xml:space="preserve">parlanti, ai fini della successiva analisi qualitativa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4cd5379a0fccbb2177e05b1c38bf4aed0a9951e"/>
    <w:p>
      <w:pPr>
        <w:pStyle w:val="Heading2"/>
      </w:pPr>
      <w:r>
        <w:t xml:space="preserve">3. Interessati e categorie di dati</w:t>
      </w:r>
    </w:p>
    <w:p>
      <w:pPr>
        <w:pStyle w:val="FirstParagraph"/>
      </w:pPr>
      <w:r>
        <w:t xml:space="preserve">Gli interessati sono le persone registrate</w:t>
      </w:r>
      <w:r>
        <w:t xml:space="preserve"> </w:t>
      </w:r>
      <w:r>
        <w:rPr>
          <w:rStyle w:val="VerbatimChar"/>
        </w:rPr>
        <w:t xml:space="preserve">[intervistati, partecipanti a discussioni di gruppo, …]</w:t>
      </w:r>
      <w:r>
        <w:t xml:space="preserve">. Vengono trattate registrazioni vocali</w:t>
      </w:r>
      <w:r>
        <w:t xml:space="preserve"> </w:t>
      </w:r>
      <w:r>
        <w:t xml:space="preserve">(voce e contenuto della conversazione) e le trascrizioni da esse</w:t>
      </w:r>
      <w:r>
        <w:t xml:space="preserve"> </w:t>
      </w:r>
      <w:r>
        <w:t xml:space="preserve">prodotte, con codici temporali e attribuzione dei parlanti. A seconda</w:t>
      </w:r>
      <w:r>
        <w:t xml:space="preserve"> </w:t>
      </w:r>
      <w:r>
        <w:t xml:space="preserve">del contenuto possono essere coinvolte categorie particolari di dati</w:t>
      </w:r>
      <w:r>
        <w:t xml:space="preserve"> </w:t>
      </w:r>
      <w:r>
        <w:t xml:space="preserve">personali</w:t>
      </w:r>
      <w:r>
        <w:t xml:space="preserve"> </w:t>
      </w:r>
      <w:r>
        <w:rPr>
          <w:rStyle w:val="VerbatimChar"/>
        </w:rPr>
        <w:t xml:space="preserve">[sì / no: …]</w:t>
      </w:r>
      <w:r>
        <w:t xml:space="preserve">.</w:t>
      </w:r>
    </w:p>
    <w:bookmarkEnd w:id="12"/>
    <w:bookmarkStart w:id="13" w:name="X3ba33443da0f704b9a5b197dd87d2e127f2db89"/>
    <w:p>
      <w:pPr>
        <w:pStyle w:val="Heading2"/>
      </w:pPr>
      <w:r>
        <w:t xml:space="preserve">4. Flusso dei dati di una trascrizione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Ingresso.</w:t>
      </w:r>
      <w:r>
        <w:t xml:space="preserve"> </w:t>
      </w:r>
      <w:r>
        <w:t xml:space="preserve">Il file audio o video viene letto dal file system</w:t>
      </w:r>
      <w:r>
        <w:t xml:space="preserve"> </w:t>
      </w:r>
      <w:r>
        <w:t xml:space="preserve">locale del dispositivo (audio: MP3, WAV, M4A, OGG, FLAC; video: MP4,</w:t>
      </w:r>
      <w:r>
        <w:t xml:space="preserve"> </w:t>
      </w:r>
      <w:r>
        <w:t xml:space="preserve">MOV, M4V in H.264/HEVC — da un video viene letta solo la traccia</w:t>
      </w:r>
      <w:r>
        <w:t xml:space="preserve"> </w:t>
      </w:r>
      <w:r>
        <w:t xml:space="preserve">audio, il video non viene mai convertito).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Elaborazione.</w:t>
      </w:r>
      <w:r>
        <w:t xml:space="preserve"> </w:t>
      </w:r>
      <w:r>
        <w:t xml:space="preserve">Il riconoscimento vocale (whisper.cpp, modello</w:t>
      </w:r>
      <w:r>
        <w:t xml:space="preserve"> </w:t>
      </w:r>
      <w:r>
        <w:t xml:space="preserve">large-v3-turbo) e la separazione dei parlanti (silero-vad, pyannote community-1) girano nel processo dell'applicazione, sul processore o sulla</w:t>
      </w:r>
      <w:r>
        <w:t xml:space="preserve"> </w:t>
      </w:r>
      <w:r>
        <w:t xml:space="preserve">scheda grafica del dispositivo. Tutti i modelli sono contenuti nel</w:t>
      </w:r>
      <w:r>
        <w:t xml:space="preserve"> </w:t>
      </w:r>
      <w:r>
        <w:t xml:space="preserve">pacchetto dell'applicazione (altri modelli whisper.cpp si possono</w:t>
      </w:r>
      <w:r>
        <w:t xml:space="preserve"> </w:t>
      </w:r>
      <w:r>
        <w:t xml:space="preserve">aggiungere solo a mano, nella cartella «Modelle» della libreria —</w:t>
      </w:r>
      <w:r>
        <w:t xml:space="preserve"> </w:t>
      </w:r>
      <w:r>
        <w:t xml:space="preserve">l'applicazione non scarica mai); al primo avvio non viene scaricato</w:t>
      </w:r>
      <w:r>
        <w:t xml:space="preserve"> </w:t>
      </w:r>
      <w:r>
        <w:t xml:space="preserve">nulla.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Archiviazione.</w:t>
      </w:r>
      <w:r>
        <w:t xml:space="preserve"> </w:t>
      </w:r>
      <w:r>
        <w:t xml:space="preserve">Per ogni trascrizione viene creata una cartella</w:t>
      </w:r>
      <w:r>
        <w:t xml:space="preserve"> </w:t>
      </w:r>
      <w:r>
        <w:t xml:space="preserve">nella posizione scelta</w:t>
      </w:r>
      <w:r>
        <w:t xml:space="preserve"> </w:t>
      </w:r>
      <w:r>
        <w:rPr>
          <w:rStyle w:val="VerbatimChar"/>
        </w:rPr>
        <w:t xml:space="preserve">[percorso, p. es. ~/Documents/TurnScript]</w:t>
      </w:r>
      <w:r>
        <w:t xml:space="preserve"> </w:t>
      </w:r>
      <w:r>
        <w:t xml:space="preserve">con una copia dell'audio (per un</w:t>
      </w:r>
      <w:r>
        <w:t xml:space="preserve"> </w:t>
      </w:r>
      <w:r>
        <w:t xml:space="preserve">video: la traccia audio in MP3 e il file video invariato), il file</w:t>
      </w:r>
      <w:r>
        <w:t xml:space="preserve"> </w:t>
      </w:r>
      <w:r>
        <w:t xml:space="preserve">canonico della trascrizione (JSON), istantanee della cronologia a ogni</w:t>
      </w:r>
      <w:r>
        <w:t xml:space="preserve"> </w:t>
      </w:r>
      <w:r>
        <w:t xml:space="preserve">salvataggio e le esportazioni derivate. I file di lavoro temporanei</w:t>
      </w:r>
      <w:r>
        <w:t xml:space="preserve"> </w:t>
      </w:r>
      <w:r>
        <w:t xml:space="preserve">vengono rimossi dopo ogni esecuzione.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Rete.</w:t>
      </w:r>
      <w:r>
        <w:t xml:space="preserve"> </w:t>
      </w:r>
      <w:r>
        <w:t xml:space="preserve">Il software non apre alcuna connessione di rete in uscita:</w:t>
      </w:r>
      <w:r>
        <w:t xml:space="preserve"> </w:t>
      </w:r>
      <w:r>
        <w:t xml:space="preserve">niente telemetria, niente statistiche d'uso, niente controllo</w:t>
      </w:r>
      <w:r>
        <w:t xml:space="preserve"> </w:t>
      </w:r>
      <w:r>
        <w:t xml:space="preserve">aggiornamenti, nessun rapporto di arresto proprio. Il servizio interno</w:t>
      </w:r>
      <w:r>
        <w:t xml:space="preserve"> </w:t>
      </w:r>
      <w:r>
        <w:t xml:space="preserve">dell'applicazione si collega esclusivamente all'indirizzo di loopback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 rifiuta le richieste di qualsiasi altro host</w:t>
      </w:r>
      <w:r>
        <w:t xml:space="preserve"> </w:t>
      </w:r>
      <w:r>
        <w:t xml:space="preserve">(HTTP 421). I dati diagnostici del sistema macOS sono regolati dalle</w:t>
      </w:r>
      <w:r>
        <w:t xml:space="preserve"> </w:t>
      </w:r>
      <w:r>
        <w:t xml:space="preserve">sue impostazioni di sistema, non dal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Uscita.</w:t>
      </w:r>
      <w:r>
        <w:t xml:space="preserve"> </w:t>
      </w:r>
      <w:r>
        <w:t xml:space="preserve">I file di esportazione (WebVTT, CSV, testo,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 dossier enrich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vengono scritti dove chi opera</w:t>
      </w:r>
      <w:r>
        <w:t xml:space="preserve"> </w:t>
      </w:r>
      <w:r>
        <w:t xml:space="preserve">li salva.</w:t>
      </w:r>
      <w:r>
        <w:t xml:space="preserve"> </w:t>
      </w:r>
      <w:r>
        <w:rPr>
          <w:b/>
          <w:bCs/>
        </w:rPr>
        <w:t xml:space="preserve">Le esportazioni REFI-QDA ed enrich contengono la</w:t>
      </w:r>
      <w:r>
        <w:rPr>
          <w:b/>
          <w:bCs/>
        </w:rPr>
        <w:t xml:space="preserve"> </w:t>
      </w:r>
      <w:r>
        <w:rPr>
          <w:b/>
          <w:bCs/>
        </w:rPr>
        <w:t xml:space="preserve">registrazione audio.</w:t>
      </w:r>
      <w:r>
        <w:t xml:space="preserve"> </w:t>
      </w:r>
      <w:r>
        <w:t xml:space="preserve">Consegnarle significa consegnare la</w:t>
      </w:r>
      <w:r>
        <w:t xml:space="preserve"> </w:t>
      </w:r>
      <w:r>
        <w:t xml:space="preserve">registrazione. Un dossier enrich contiene inoltre il giornale delle</w:t>
      </w:r>
      <w:r>
        <w:t xml:space="preserve"> </w:t>
      </w:r>
      <w:r>
        <w:t xml:space="preserve">modifiche con l'indirizzo e-mail facoltativo inserito nelle</w:t>
      </w:r>
      <w:r>
        <w:t xml:space="preserve"> </w:t>
      </w:r>
      <w:r>
        <w:t xml:space="preserve">impostazioni e, se la trascrizione è collegata a Zotero, i metadati</w:t>
      </w:r>
      <w:r>
        <w:t xml:space="preserve"> </w:t>
      </w:r>
      <w:r>
        <w:t xml:space="preserve">ripresi (titolo, data, persone secondo i ruoli scelti, chiave di</w:t>
      </w:r>
      <w:r>
        <w:t xml:space="preserve"> </w:t>
      </w:r>
      <w:r>
        <w:t xml:space="preserve">citazione). Con il consenso Zotero l'applicazione legge il database</w:t>
      </w:r>
      <w:r>
        <w:t xml:space="preserve"> </w:t>
      </w:r>
      <w:r>
        <w:t xml:space="preserve">locale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in sola lettura, solo su richiesta. Per una</w:t>
      </w:r>
      <w:r>
        <w:t xml:space="preserve"> </w:t>
      </w:r>
      <w:r>
        <w:t xml:space="preserve">registrazione video il file video è conservato invariato nella</w:t>
      </w:r>
      <w:r>
        <w:t xml:space="preserve"> </w:t>
      </w:r>
      <w:r>
        <w:t xml:space="preserve">cartella della trascrizione (i volti sono dati personali, biometrici</w:t>
      </w:r>
      <w:r>
        <w:t xml:space="preserve"> </w:t>
      </w:r>
      <w:r>
        <w:t xml:space="preserve">se identificabili); l’export enrich contiene solo l’audio, l’export</w:t>
      </w:r>
      <w:r>
        <w:t xml:space="preserve"> </w:t>
      </w:r>
      <w:r>
        <w:t xml:space="preserve">REFI-QDA il video solo su scelta esplicita.</w:t>
      </w:r>
    </w:p>
    <w:bookmarkEnd w:id="13"/>
    <w:bookmarkStart w:id="14" w:name="X8a036f2022c30e0b01a304185ba9495d6d4efbf"/>
    <w:p>
      <w:pPr>
        <w:pStyle w:val="Heading2"/>
      </w:pPr>
      <w:r>
        <w:t xml:space="preserve">5. Luogo del trattamento</w:t>
      </w:r>
    </w:p>
    <w:p>
      <w:pPr>
        <w:pStyle w:val="FirstParagraph"/>
      </w:pPr>
      <w:r>
        <w:t xml:space="preserve">Esclusivamente sul dispositivo</w:t>
      </w:r>
      <w:r>
        <w:t xml:space="preserve"> </w:t>
      </w:r>
      <w:r>
        <w:rPr>
          <w:rStyle w:val="VerbatimChar"/>
        </w:rPr>
        <w:t xml:space="preserve">[dispositivo, luogo]</w:t>
      </w:r>
      <w:r>
        <w:t xml:space="preserve">, nella sessione</w:t>
      </w:r>
      <w:r>
        <w:t xml:space="preserve"> </w:t>
      </w:r>
      <w:r>
        <w:t xml:space="preserve">della persona che ha effettuato l'accesso. Non esistono server, servizi</w:t>
      </w:r>
      <w:r>
        <w:t xml:space="preserve"> </w:t>
      </w:r>
      <w:r>
        <w:t xml:space="preserve">cloud né account utente.</w:t>
      </w:r>
    </w:p>
    <w:bookmarkEnd w:id="14"/>
    <w:bookmarkStart w:id="15" w:name="X114c3308d3b2860d8b63738937b4d74fd13d7fb"/>
    <w:p>
      <w:pPr>
        <w:pStyle w:val="Heading2"/>
      </w:pPr>
      <w:r>
        <w:t xml:space="preserve">6. Destinatari, responsabili del trattamento, trasferimenti verso paesi terzi</w:t>
      </w:r>
    </w:p>
    <w:p>
      <w:pPr>
        <w:pStyle w:val="FirstParagraph"/>
      </w:pPr>
      <w:r>
        <w:t xml:space="preserve">Nessuno. Poiché nessun dato viene trasmesso, non vi sono destinatari,</w:t>
      </w:r>
      <w:r>
        <w:t xml:space="preserve"> </w:t>
      </w:r>
      <w:r>
        <w:t xml:space="preserve">responsabili del trattamento né trasferimenti verso paesi terzi. I dati</w:t>
      </w:r>
      <w:r>
        <w:t xml:space="preserve"> </w:t>
      </w:r>
      <w:r>
        <w:t xml:space="preserve">lasciano il dispositivo solo se il titolare stesso consegna file di</w:t>
      </w:r>
      <w:r>
        <w:t xml:space="preserve"> </w:t>
      </w:r>
      <w:r>
        <w:t xml:space="preserve">esportazione</w:t>
      </w:r>
      <w:r>
        <w:t xml:space="preserve"> </w:t>
      </w:r>
      <w:r>
        <w:rPr>
          <w:rStyle w:val="VerbatimChar"/>
        </w:rPr>
        <w:t xml:space="preserve">[a …, tramite …]</w:t>
      </w:r>
      <w:r>
        <w:t xml:space="preserve">.</w:t>
      </w:r>
    </w:p>
    <w:bookmarkEnd w:id="15"/>
    <w:bookmarkStart w:id="16" w:name="X07ccd97158aa43f66cede7b3b51cf43453e981c"/>
    <w:p>
      <w:pPr>
        <w:pStyle w:val="Heading2"/>
      </w:pPr>
      <w:r>
        <w:t xml:space="preserve">7. Conservazione e cancellazione</w:t>
      </w:r>
    </w:p>
    <w:p>
      <w:pPr>
        <w:pStyle w:val="FirstParagraph"/>
      </w:pPr>
      <w:r>
        <w:t xml:space="preserve">Conservazione di registrazioni e trascrizioni:</w:t>
      </w:r>
      <w:r>
        <w:t xml:space="preserve"> </w:t>
      </w:r>
      <w:r>
        <w:rPr>
          <w:rStyle w:val="VerbatimChar"/>
        </w:rPr>
        <w:t xml:space="preserve">[durata, base]</w:t>
      </w:r>
      <w:r>
        <w:t xml:space="preserve">.</w:t>
      </w:r>
      <w:r>
        <w:t xml:space="preserve"> </w:t>
      </w:r>
      <w:r>
        <w:t xml:space="preserve">Eliminare nell'applicazione sposta una voce in una cartella cestino</w:t>
      </w:r>
      <w:r>
        <w:t xml:space="preserve"> </w:t>
      </w:r>
      <w:r>
        <w:t xml:space="preserve">all'interno della libreria (</w:t>
      </w:r>
      <w:r>
        <w:rPr>
          <w:rStyle w:val="VerbatimChar"/>
        </w:rPr>
        <w:t xml:space="preserve">_papierkorb</w:t>
      </w:r>
      <w:r>
        <w:t xml:space="preserve">); viene rimossa</w:t>
      </w:r>
      <w:r>
        <w:t xml:space="preserve"> </w:t>
      </w:r>
      <w:r>
        <w:t xml:space="preserve">definitivamente solo svuotando quella cartella</w:t>
      </w:r>
      <w:r>
        <w:t xml:space="preserve"> </w:t>
      </w:r>
      <w:r>
        <w:rPr>
          <w:rStyle w:val="VerbatimChar"/>
        </w:rPr>
        <w:t xml:space="preserve">[da chi, quando]</w:t>
      </w:r>
      <w:r>
        <w:t xml:space="preserve">. Le</w:t>
      </w:r>
      <w:r>
        <w:t xml:space="preserve"> </w:t>
      </w:r>
      <w:r>
        <w:t xml:space="preserve">istantanee della cronologia si trovano nella cartella della rispettiva</w:t>
      </w:r>
      <w:r>
        <w:t xml:space="preserve"> </w:t>
      </w:r>
      <w:r>
        <w:t xml:space="preserve">trascrizione e vengono cancellate con essa. Le copie di sicurezza del</w:t>
      </w:r>
      <w:r>
        <w:t xml:space="preserve"> </w:t>
      </w:r>
      <w:r>
        <w:t xml:space="preserve">dispositivo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seguono la regola di cancellazione del</w:t>
      </w:r>
      <w:r>
        <w:t xml:space="preserve"> </w:t>
      </w:r>
      <w:r>
        <w:t xml:space="preserve">titolare.</w:t>
      </w:r>
    </w:p>
    <w:bookmarkEnd w:id="16"/>
    <w:bookmarkStart w:id="17" w:name="X4e94f4a6a6d72c2f43ece448914ae7c8f37dfc1"/>
    <w:p>
      <w:pPr>
        <w:pStyle w:val="Heading2"/>
      </w:pPr>
      <w:r>
        <w:t xml:space="preserve">8. Misure tecniche e organizzative</w:t>
      </w:r>
    </w:p>
    <w:p>
      <w:pPr>
        <w:pStyle w:val="FirstParagraph"/>
      </w:pPr>
      <w:r>
        <w:t xml:space="preserve">A carico del titolare, poiché il software non porta con sé alcun</w:t>
      </w:r>
      <w:r>
        <w:t xml:space="preserve"> </w:t>
      </w:r>
      <w:r>
        <w:t xml:space="preserve">controllo degli accessi:</w:t>
      </w:r>
    </w:p>
    <w:p>
      <w:pPr>
        <w:pStyle w:val="Compact"/>
        <w:numPr>
          <w:ilvl w:val="0"/>
          <w:numId w:val="1002"/>
        </w:numPr>
      </w:pPr>
      <w:r>
        <w:t xml:space="preserve">Cifratura del disco, p. es. FileVault:</w:t>
      </w:r>
      <w:r>
        <w:t xml:space="preserve"> </w:t>
      </w:r>
      <w:r>
        <w:rPr>
          <w:rStyle w:val="VerbatimChar"/>
        </w:rPr>
        <w:t xml:space="preserve">[attiva dal …]</w:t>
      </w:r>
    </w:p>
    <w:p>
      <w:pPr>
        <w:pStyle w:val="Compact"/>
        <w:numPr>
          <w:ilvl w:val="0"/>
          <w:numId w:val="1002"/>
        </w:numPr>
      </w:pPr>
      <w:r>
        <w:t xml:space="preserve">Protezione dell'accesso al dispositivo (login, blocco schermo):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Pseudonimizzazione prima di ogni consegna — nell'editor</w:t>
      </w:r>
      <w:r>
        <w:t xml:space="preserve"> </w:t>
      </w:r>
      <w:r>
        <w:t xml:space="preserve">dell'applicazione i parlanti possono essere rinominati e i nomi nel</w:t>
      </w:r>
      <w:r>
        <w:t xml:space="preserve"> </w:t>
      </w:r>
      <w:r>
        <w:t xml:space="preserve">testo sostituiti con cerca-e-sostituisci; la decisione su che cosa</w:t>
      </w:r>
      <w:r>
        <w:t xml:space="preserve"> </w:t>
      </w:r>
      <w:r>
        <w:t xml:space="preserve">sostituire spetta a chi corregge:</w:t>
      </w:r>
      <w:r>
        <w:t xml:space="preserve"> </w:t>
      </w:r>
      <w:r>
        <w:rPr>
          <w:rStyle w:val="VerbatimChar"/>
        </w:rPr>
        <w:t xml:space="preserve">[procedura, responsabilità]</w:t>
      </w:r>
    </w:p>
    <w:p>
      <w:pPr>
        <w:pStyle w:val="Compact"/>
        <w:numPr>
          <w:ilvl w:val="0"/>
          <w:numId w:val="1002"/>
        </w:numPr>
      </w:pPr>
      <w:r>
        <w:t xml:space="preserve">Regola per le copie di sicurezza: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Regola per la consegna dei file di esportazione, in particolare di</w:t>
      </w:r>
      <w:r>
        <w:t xml:space="preserve"> </w:t>
      </w:r>
      <w:r>
        <w:t xml:space="preserve">quelli con 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7877ffa783ac2a67dfc11272b0b4ed2db6721a6"/>
    <w:p>
      <w:pPr>
        <w:pStyle w:val="Heading2"/>
      </w:pPr>
      <w:r>
        <w:t xml:space="preserve">9. Base giuridica e informazione degli interessati</w:t>
      </w:r>
    </w:p>
    <w:p>
      <w:pPr>
        <w:pStyle w:val="FirstParagraph"/>
      </w:pPr>
      <w:r>
        <w:rPr>
          <w:rStyle w:val="VerbatimChar"/>
        </w:rPr>
        <w:t xml:space="preserve">[consenso / interesse legittimo / privilegio di ricerca ai sensi di …; lettera informativa del …]</w:t>
      </w:r>
      <w:r>
        <w:t xml:space="preserve">. Il software non contribuisce in alcun modo.</w:t>
      </w:r>
    </w:p>
    <w:bookmarkEnd w:id="18"/>
    <w:bookmarkStart w:id="19" w:name="X587a7974bbe864c6fe98dac18999c06dd9f6056"/>
    <w:p>
      <w:pPr>
        <w:pStyle w:val="Heading2"/>
      </w:pPr>
      <w:r>
        <w:t xml:space="preserve">10. Verificabilità</w:t>
      </w:r>
    </w:p>
    <w:p>
      <w:pPr>
        <w:pStyle w:val="FirstParagraph"/>
      </w:pPr>
      <w:r>
        <w:t xml:space="preserve">Le affermazioni della sezione 4 sono verificabili nel codice sorgente:</w:t>
      </w:r>
      <w:r>
        <w:t xml:space="preserve"> </w:t>
      </w:r>
      <w:r>
        <w:t xml:space="preserve">il collegamento del servizio interno 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 il rifiuto degli</w:t>
      </w:r>
      <w:r>
        <w:t xml:space="preserve"> </w:t>
      </w:r>
      <w:r>
        <w:t xml:space="preserve">host estranei si trovano in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. Il</w:t>
      </w:r>
      <w:r>
        <w:t xml:space="preserve"> </w:t>
      </w:r>
      <w:r>
        <w:t xml:space="preserve">repository contiene l'intera catena di build fino al pacchetto</w:t>
      </w:r>
      <w:r>
        <w:t xml:space="preserve"> </w:t>
      </w:r>
      <w:r>
        <w:t xml:space="preserve">d'installazione firmato; chi non si fida del binario distribuito può</w:t>
      </w:r>
      <w:r>
        <w:t xml:space="preserve"> </w:t>
      </w:r>
      <w:r>
        <w:t xml:space="preserve">compilarlo.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Fonte di questo testo:</w:t>
      </w:r>
      <w:r>
        <w:t xml:space="preserve"> </w:t>
      </w:r>
      <w:hyperlink r:id="rId9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(cartella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È pubblicato con licenza CC BY 4.0: uso e</w:t>
      </w:r>
      <w:r>
        <w:t xml:space="preserve"> </w:t>
      </w:r>
      <w:r>
        <w:t xml:space="preserve">adattamento liberi, anche commerciali, citando B/IAS e indicando le</w:t>
      </w:r>
      <w:r>
        <w:t xml:space="preserve"> </w:t>
      </w:r>
      <w:r>
        <w:t xml:space="preserve">modifiche.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2026-09-14T21:51:59Z</dcterms:created>
  <dcterms:modified xsi:type="dcterms:W3CDTF">2026-09-14T21:51:59Z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