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07b69f1d90cd7e535370c40b1e52fb021be5f5"/>
    <w:p>
      <w:pPr>
        <w:pStyle w:val="Heading1"/>
      </w:pPr>
      <w:r>
        <w:t xml:space="preserve">TurnScript — Description du traitement des données</w:t>
      </w:r>
    </w:p>
    <w:p>
      <w:pPr>
        <w:pStyle w:val="FirstParagraph"/>
      </w:pPr>
      <w:r>
        <w:t xml:space="preserve">Bloc de texte à insérer dans un registre des activités de traitement,</w:t>
      </w:r>
      <w:r>
        <w:t xml:space="preserve"> </w:t>
      </w:r>
      <w:r>
        <w:t xml:space="preserve">une analyse d'impact relative à la protection des données, une demande</w:t>
      </w:r>
      <w:r>
        <w:t xml:space="preserve"> </w:t>
      </w:r>
      <w:r>
        <w:t xml:space="preserve">au comité d'éthique ou un plan de gestion des données. État au</w:t>
      </w:r>
      <w:r>
        <w:t xml:space="preserve"> </w:t>
      </w:r>
      <w:r>
        <w:t xml:space="preserve">13 septembre 2026, TurnScript 2.5.0. Les mentions entre</w:t>
      </w:r>
      <w:r>
        <w:t xml:space="preserve"> </w:t>
      </w:r>
      <w:r>
        <w:rPr>
          <w:rStyle w:val="VerbatimChar"/>
        </w:rPr>
        <w:t xml:space="preserve">[crochets]</w:t>
      </w:r>
      <w:r>
        <w:t xml:space="preserve"> </w:t>
      </w:r>
      <w:r>
        <w:t xml:space="preserve">sont complétées par le responsable du traitement.</w:t>
      </w:r>
    </w:p>
    <w:p>
      <w:pPr>
        <w:pStyle w:val="BodyText"/>
      </w:pPr>
      <w:r>
        <w:t xml:space="preserve">Ce texte décrit ce que le logiciel fait et ne fait pas. La</w:t>
      </w:r>
      <w:r>
        <w:t xml:space="preserve"> </w:t>
      </w:r>
      <w:r>
        <w:t xml:space="preserve">qualification juridique de son propre traitement — au regard du RGPD ou</w:t>
      </w:r>
      <w:r>
        <w:t xml:space="preserve"> </w:t>
      </w:r>
      <w:r>
        <w:t xml:space="preserve">de la nLPD suisse — revient au responsable du traitement ; le texte ne</w:t>
      </w:r>
      <w:r>
        <w:t xml:space="preserve"> </w:t>
      </w:r>
      <w:r>
        <w:t xml:space="preserve">remplace pas un avis juridique.</w:t>
      </w:r>
    </w:p>
    <w:p>
      <w:r>
        <w:pict>
          <v:rect style="width:0;height:1.5pt" o:hralign="center" o:hrstd="t" o:hr="t"/>
        </w:pict>
      </w:r>
    </w:p>
    <w:bookmarkStart w:id="10" w:name="Xabd8a06cf92e0d6099abf43e908b87f9693a70c"/>
    <w:p>
      <w:pPr>
        <w:pStyle w:val="Heading2"/>
      </w:pPr>
      <w:r>
        <w:t xml:space="preserve">1. Logiciel utilisé</w:t>
      </w:r>
    </w:p>
    <w:p>
      <w:pPr>
        <w:pStyle w:val="FirstParagraph"/>
      </w:pPr>
      <w:r>
        <w:t xml:space="preserve">TurnScript, version</w:t>
      </w:r>
      <w:r>
        <w:t xml:space="preserve"> </w:t>
      </w:r>
      <w:r>
        <w:rPr>
          <w:rStyle w:val="VerbatimChar"/>
        </w:rPr>
        <w:t xml:space="preserve">[2.5.0]</w:t>
      </w:r>
      <w:r>
        <w:t xml:space="preserve">. Logiciel libre sous</w:t>
      </w:r>
      <w:r>
        <w:t xml:space="preserve"> </w:t>
      </w:r>
      <w:r>
        <w:t xml:space="preserve">AGPL-3.0-or-later, développé au B/IAS – Basel Institut für angewandte</w:t>
      </w:r>
      <w:r>
        <w:t xml:space="preserve"> </w:t>
      </w:r>
      <w:r>
        <w:t xml:space="preserve">Stadtforschung. Code source public :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. Le logiciel</w:t>
      </w:r>
      <w:r>
        <w:t xml:space="preserve"> </w:t>
      </w:r>
      <w:r>
        <w:t xml:space="preserve">fonctionne comme application locale sous macOS (Apple Silicon) et est</w:t>
      </w:r>
      <w:r>
        <w:t xml:space="preserve"> </w:t>
      </w:r>
      <w:r>
        <w:t xml:space="preserve">installé et exploité par le responsable du traitement lui-même.</w:t>
      </w:r>
    </w:p>
    <w:bookmarkEnd w:id="10"/>
    <w:bookmarkStart w:id="11" w:name="X7bff647b16d06d3bb9d381f73749529aa4b6ef5"/>
    <w:p>
      <w:pPr>
        <w:pStyle w:val="Heading2"/>
      </w:pPr>
      <w:r>
        <w:t xml:space="preserve">2. Finalité du traitement</w:t>
      </w:r>
    </w:p>
    <w:p>
      <w:pPr>
        <w:pStyle w:val="FirstParagraph"/>
      </w:pPr>
      <w:r>
        <w:t xml:space="preserve">Conversion d'enregistrements audio</w:t>
      </w:r>
      <w:r>
        <w:t xml:space="preserve"> </w:t>
      </w:r>
      <w:r>
        <w:rPr>
          <w:rStyle w:val="VerbatimChar"/>
        </w:rPr>
        <w:t xml:space="preserve">[p. ex. entretiens semi-directifs dans le projet …]</w:t>
      </w:r>
      <w:r>
        <w:t xml:space="preserve"> </w:t>
      </w:r>
      <w:r>
        <w:t xml:space="preserve">en texte avec codes temporels et attribution des</w:t>
      </w:r>
      <w:r>
        <w:t xml:space="preserve"> </w:t>
      </w:r>
      <w:r>
        <w:t xml:space="preserve">locuteurs, en vue d'une analyse qualitative ultérieure</w:t>
      </w:r>
      <w:r>
        <w:t xml:space="preserve"> </w:t>
      </w:r>
      <w:r>
        <w:rPr>
          <w:rStyle w:val="VerbatimChar"/>
        </w:rPr>
        <w:t xml:space="preserve">[dans ATLAS.ti / MAXQDA / NVivo / enrich / …]</w:t>
      </w:r>
      <w:r>
        <w:t xml:space="preserve">.</w:t>
      </w:r>
    </w:p>
    <w:bookmarkEnd w:id="11"/>
    <w:bookmarkStart w:id="12" w:name="X38c03105c08da92ce3e8a339cf9722ccbad41ac"/>
    <w:p>
      <w:pPr>
        <w:pStyle w:val="Heading2"/>
      </w:pPr>
      <w:r>
        <w:t xml:space="preserve">3. Personnes concernées et catégories de données</w:t>
      </w:r>
    </w:p>
    <w:p>
      <w:pPr>
        <w:pStyle w:val="FirstParagraph"/>
      </w:pPr>
      <w:r>
        <w:t xml:space="preserve">Les personnes concernées sont les personnes enregistrées</w:t>
      </w:r>
      <w:r>
        <w:t xml:space="preserve"> </w:t>
      </w:r>
      <w:r>
        <w:rPr>
          <w:rStyle w:val="VerbatimChar"/>
        </w:rPr>
        <w:t xml:space="preserve">[personnes interrogées, participant·e·s à des discussions de groupe, …]</w:t>
      </w:r>
      <w:r>
        <w:t xml:space="preserve">. Sont</w:t>
      </w:r>
      <w:r>
        <w:t xml:space="preserve"> </w:t>
      </w:r>
      <w:r>
        <w:t xml:space="preserve">traités les enregistrements vocaux (voix et contenu de l'échange) ainsi</w:t>
      </w:r>
      <w:r>
        <w:t xml:space="preserve"> </w:t>
      </w:r>
      <w:r>
        <w:t xml:space="preserve">que les transcriptions qui en sont produites, avec codes temporels et</w:t>
      </w:r>
      <w:r>
        <w:t xml:space="preserve"> </w:t>
      </w:r>
      <w:r>
        <w:t xml:space="preserve">attribution des locuteurs. Selon le contenu, des catégories</w:t>
      </w:r>
      <w:r>
        <w:t xml:space="preserve"> </w:t>
      </w:r>
      <w:r>
        <w:t xml:space="preserve">particulières de données personnelles peuvent être concernées</w:t>
      </w:r>
      <w:r>
        <w:t xml:space="preserve"> </w:t>
      </w:r>
      <w:r>
        <w:rPr>
          <w:rStyle w:val="VerbatimChar"/>
        </w:rPr>
        <w:t xml:space="preserve">[oui / non : …]</w:t>
      </w:r>
      <w:r>
        <w:t xml:space="preserve">.</w:t>
      </w:r>
    </w:p>
    <w:bookmarkEnd w:id="12"/>
    <w:bookmarkStart w:id="13" w:name="X54481b0839aeb565496ead3eab35485bf79f1d3"/>
    <w:p>
      <w:pPr>
        <w:pStyle w:val="Heading2"/>
      </w:pPr>
      <w:r>
        <w:t xml:space="preserve">4. Flux de données d'une transcription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Entrée.</w:t>
      </w:r>
      <w:r>
        <w:t xml:space="preserve"> </w:t>
      </w:r>
      <w:r>
        <w:t xml:space="preserve">Le fichier audio ou vidéo est lu depuis le système de</w:t>
      </w:r>
      <w:r>
        <w:t xml:space="preserve"> </w:t>
      </w:r>
      <w:r>
        <w:t xml:space="preserve">fichiers local de l'appareil (audio : MP3, WAV, M4A, OGG, FLAC ;</w:t>
      </w:r>
      <w:r>
        <w:t xml:space="preserve"> </w:t>
      </w:r>
      <w:r>
        <w:t xml:space="preserve">vidéo : MP4, MOV, M4V en H.264/HEVC — d'une vidéo seule la piste</w:t>
      </w:r>
      <w:r>
        <w:t xml:space="preserve"> </w:t>
      </w:r>
      <w:r>
        <w:t xml:space="preserve">audio est lue, la vidéo n'est jamais convertie).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Traitement.</w:t>
      </w:r>
      <w:r>
        <w:t xml:space="preserve"> </w:t>
      </w:r>
      <w:r>
        <w:t xml:space="preserve">La reconnaissance vocale (whisper.cpp, modèle</w:t>
      </w:r>
      <w:r>
        <w:t xml:space="preserve"> </w:t>
      </w:r>
      <w:r>
        <w:t xml:space="preserve">large-v3-turbo) et la séparation des locuteurs (silero-vad, pyannote community-1) s'exécutent dans le processus de l'application, sur</w:t>
      </w:r>
      <w:r>
        <w:t xml:space="preserve"> </w:t>
      </w:r>
      <w:r>
        <w:t xml:space="preserve">le processeur ou la carte graphique de l'appareil. Tous les modèles</w:t>
      </w:r>
      <w:r>
        <w:t xml:space="preserve"> </w:t>
      </w:r>
      <w:r>
        <w:t xml:space="preserve">sont contenus dans le paquet de l'application (d'autres modèles</w:t>
      </w:r>
      <w:r>
        <w:t xml:space="preserve"> </w:t>
      </w:r>
      <w:r>
        <w:t xml:space="preserve">whisper.cpp ne peuvent être ajoutés qu'à la main, dans le dossier</w:t>
      </w:r>
      <w:r>
        <w:t xml:space="preserve"> </w:t>
      </w:r>
      <w:r>
        <w:t xml:space="preserve">« Modelle » de la bibliothèque — l'application ne télécharge</w:t>
      </w:r>
      <w:r>
        <w:t xml:space="preserve"> </w:t>
      </w:r>
      <w:r>
        <w:t xml:space="preserve">jamais) ; rien n'est téléchargé</w:t>
      </w:r>
      <w:r>
        <w:t xml:space="preserve"> </w:t>
      </w:r>
      <w:r>
        <w:t xml:space="preserve">au premier lancement.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Stockage.</w:t>
      </w:r>
      <w:r>
        <w:t xml:space="preserve"> </w:t>
      </w:r>
      <w:r>
        <w:t xml:space="preserve">Pour chaque transcription, un dossier est créé à</w:t>
      </w:r>
      <w:r>
        <w:t xml:space="preserve"> </w:t>
      </w:r>
      <w:r>
        <w:t xml:space="preserve">l'emplacement choisi</w:t>
      </w:r>
      <w:r>
        <w:t xml:space="preserve"> </w:t>
      </w:r>
      <w:r>
        <w:rPr>
          <w:rStyle w:val="VerbatimChar"/>
        </w:rPr>
        <w:t xml:space="preserve">[chemin, p. ex. ~/Documents/TurnScript]</w:t>
      </w:r>
      <w:r>
        <w:t xml:space="preserve"> </w:t>
      </w:r>
      <w:r>
        <w:t xml:space="preserve">contenant une copie de l'audio (pour une vidéo : la piste audio en</w:t>
      </w:r>
      <w:r>
        <w:t xml:space="preserve"> </w:t>
      </w:r>
      <w:r>
        <w:t xml:space="preserve">MP3 et le fichier vidéo inchangé), le fichier canonique de transcription</w:t>
      </w:r>
      <w:r>
        <w:t xml:space="preserve"> </w:t>
      </w:r>
      <w:r>
        <w:t xml:space="preserve">(JSON), des instantanés d'historique à chaque enregistrement et les</w:t>
      </w:r>
      <w:r>
        <w:t xml:space="preserve"> </w:t>
      </w:r>
      <w:r>
        <w:t xml:space="preserve">exports dérivés. Les fichiers de travail temporaires sont supprimés</w:t>
      </w:r>
      <w:r>
        <w:t xml:space="preserve"> </w:t>
      </w:r>
      <w:r>
        <w:t xml:space="preserve">après chaque exécution.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Réseau.</w:t>
      </w:r>
      <w:r>
        <w:t xml:space="preserve"> </w:t>
      </w:r>
      <w:r>
        <w:t xml:space="preserve">Le logiciel n'ouvre aucune connexion réseau sortante :</w:t>
      </w:r>
      <w:r>
        <w:t xml:space="preserve"> </w:t>
      </w:r>
      <w:r>
        <w:t xml:space="preserve">pas de télémétrie, pas de statistiques d'utilisation, pas de</w:t>
      </w:r>
      <w:r>
        <w:t xml:space="preserve"> </w:t>
      </w:r>
      <w:r>
        <w:t xml:space="preserve">vérification de mise à jour, pas de rapports de plantage propres. Le</w:t>
      </w:r>
      <w:r>
        <w:t xml:space="preserve"> </w:t>
      </w:r>
      <w:r>
        <w:t xml:space="preserve">service interne de l'application se lie exclusivement à l'adresse de</w:t>
      </w:r>
      <w:r>
        <w:t xml:space="preserve"> </w:t>
      </w:r>
      <w:r>
        <w:t xml:space="preserve">bouclage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et rejette les requêtes de tout autre hôte</w:t>
      </w:r>
      <w:r>
        <w:t xml:space="preserve"> </w:t>
      </w:r>
      <w:r>
        <w:t xml:space="preserve">(HTTP 421). Les données de diagnostic du système macOS relèvent de</w:t>
      </w:r>
      <w:r>
        <w:t xml:space="preserve"> </w:t>
      </w:r>
      <w:r>
        <w:t xml:space="preserve">ses réglages système, non du logiciel.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Sortie.</w:t>
      </w:r>
      <w:r>
        <w:t xml:space="preserve"> </w:t>
      </w:r>
      <w:r>
        <w:t xml:space="preserve">Les fichiers d'export (WebVTT, CSV, texte brut,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 dossier enrich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sont écrits là où</w:t>
      </w:r>
      <w:r>
        <w:t xml:space="preserve"> </w:t>
      </w:r>
      <w:r>
        <w:t xml:space="preserve">l'utilisateur·rice les enregistre.</w:t>
      </w:r>
      <w:r>
        <w:t xml:space="preserve"> </w:t>
      </w:r>
      <w:r>
        <w:rPr>
          <w:b/>
          <w:bCs/>
        </w:rPr>
        <w:t xml:space="preserve">Les exports REFI-QDA et enrich</w:t>
      </w:r>
      <w:r>
        <w:rPr>
          <w:b/>
          <w:bCs/>
        </w:rPr>
        <w:t xml:space="preserve"> </w:t>
      </w:r>
      <w:r>
        <w:rPr>
          <w:b/>
          <w:bCs/>
        </w:rPr>
        <w:t xml:space="preserve">contiennent l'enregistrement audio.</w:t>
      </w:r>
      <w:r>
        <w:t xml:space="preserve"> </w:t>
      </w:r>
      <w:r>
        <w:t xml:space="preserve">Les transmettre, c'est</w:t>
      </w:r>
      <w:r>
        <w:t xml:space="preserve"> </w:t>
      </w:r>
      <w:r>
        <w:t xml:space="preserve">transmettre l'enregistrement. Un dossier enrich contient en outre le</w:t>
      </w:r>
      <w:r>
        <w:t xml:space="preserve"> </w:t>
      </w:r>
      <w:r>
        <w:t xml:space="preserve">journal des modifications avec l'adresse e-mail facultative saisie</w:t>
      </w:r>
      <w:r>
        <w:t xml:space="preserve"> </w:t>
      </w:r>
      <w:r>
        <w:t xml:space="preserve">dans les réglages et, si la transcription est liée à Zotero, les</w:t>
      </w:r>
      <w:r>
        <w:t xml:space="preserve"> </w:t>
      </w:r>
      <w:r>
        <w:t xml:space="preserve">métadonnées reprises (titre, date, personnes selon les rôles</w:t>
      </w:r>
      <w:r>
        <w:t xml:space="preserve"> </w:t>
      </w:r>
      <w:r>
        <w:t xml:space="preserve">choisis, clé de citation). Avec l'autorisation Zotero, l'application</w:t>
      </w:r>
      <w:r>
        <w:t xml:space="preserve"> </w:t>
      </w:r>
      <w:r>
        <w:t xml:space="preserve">lit la base locale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en lecture seule, uniquement sur</w:t>
      </w:r>
      <w:r>
        <w:t xml:space="preserve"> </w:t>
      </w:r>
      <w:r>
        <w:t xml:space="preserve">demande. Pour un enregistrement vidéo, le fichier vidéo est conservé</w:t>
      </w:r>
      <w:r>
        <w:t xml:space="preserve"> </w:t>
      </w:r>
      <w:r>
        <w:t xml:space="preserve">tel quel dans le dossier de la transcription (les visages sont des</w:t>
      </w:r>
      <w:r>
        <w:t xml:space="preserve"> </w:t>
      </w:r>
      <w:r>
        <w:t xml:space="preserve">données personnelles, biométriques si identifiables) ; l’export</w:t>
      </w:r>
      <w:r>
        <w:t xml:space="preserve"> </w:t>
      </w:r>
      <w:r>
        <w:t xml:space="preserve">enrich ne contient que le son, l’export REFI-QDA la vidéo seulement</w:t>
      </w:r>
      <w:r>
        <w:t xml:space="preserve"> </w:t>
      </w:r>
      <w:r>
        <w:t xml:space="preserve">sur choix explicite.</w:t>
      </w:r>
    </w:p>
    <w:bookmarkEnd w:id="13"/>
    <w:bookmarkStart w:id="14" w:name="X27a9739f5b146e4ad78a670c86cc01f62209a85"/>
    <w:p>
      <w:pPr>
        <w:pStyle w:val="Heading2"/>
      </w:pPr>
      <w:r>
        <w:t xml:space="preserve">5. Lieu du traitement</w:t>
      </w:r>
    </w:p>
    <w:p>
      <w:pPr>
        <w:pStyle w:val="FirstParagraph"/>
      </w:pPr>
      <w:r>
        <w:t xml:space="preserve">Exclusivement sur l'appareil</w:t>
      </w:r>
      <w:r>
        <w:t xml:space="preserve"> </w:t>
      </w:r>
      <w:r>
        <w:rPr>
          <w:rStyle w:val="VerbatimChar"/>
        </w:rPr>
        <w:t xml:space="preserve">[appareil, lieu]</w:t>
      </w:r>
      <w:r>
        <w:t xml:space="preserve">, dans la session de la</w:t>
      </w:r>
      <w:r>
        <w:t xml:space="preserve"> </w:t>
      </w:r>
      <w:r>
        <w:t xml:space="preserve">personne connectée. Il n'y a ni serveur, ni service cloud, ni compte</w:t>
      </w:r>
      <w:r>
        <w:t xml:space="preserve"> </w:t>
      </w:r>
      <w:r>
        <w:t xml:space="preserve">utilisateur.</w:t>
      </w:r>
    </w:p>
    <w:bookmarkEnd w:id="14"/>
    <w:bookmarkStart w:id="15" w:name="Xeac36a9c12f4b6844a6a932a418781f58f634f9"/>
    <w:p>
      <w:pPr>
        <w:pStyle w:val="Heading2"/>
      </w:pPr>
      <w:r>
        <w:t xml:space="preserve">6. Destinataires, sous-traitants, transferts vers des pays tiers</w:t>
      </w:r>
    </w:p>
    <w:p>
      <w:pPr>
        <w:pStyle w:val="FirstParagraph"/>
      </w:pPr>
      <w:r>
        <w:t xml:space="preserve">Aucun. Comme aucune donnée n'est transmise, il n'y a ni destinataire,</w:t>
      </w:r>
      <w:r>
        <w:t xml:space="preserve"> </w:t>
      </w:r>
      <w:r>
        <w:t xml:space="preserve">ni sous-traitant, ni transfert vers un pays tiers. Les données ne</w:t>
      </w:r>
      <w:r>
        <w:t xml:space="preserve"> </w:t>
      </w:r>
      <w:r>
        <w:t xml:space="preserve">quittent l'appareil que si le responsable du traitement transmet</w:t>
      </w:r>
      <w:r>
        <w:t xml:space="preserve"> </w:t>
      </w:r>
      <w:r>
        <w:t xml:space="preserve">lui-même des fichiers d'export</w:t>
      </w:r>
      <w:r>
        <w:t xml:space="preserve"> </w:t>
      </w:r>
      <w:r>
        <w:rPr>
          <w:rStyle w:val="VerbatimChar"/>
        </w:rPr>
        <w:t xml:space="preserve">[à …, par …]</w:t>
      </w:r>
      <w:r>
        <w:t xml:space="preserve">.</w:t>
      </w:r>
    </w:p>
    <w:bookmarkEnd w:id="15"/>
    <w:bookmarkStart w:id="16" w:name="Xb36bd3439aa393382a4f1ceeeb8fa7471277d95"/>
    <w:p>
      <w:pPr>
        <w:pStyle w:val="Heading2"/>
      </w:pPr>
      <w:r>
        <w:t xml:space="preserve">7. Durée de conservation et suppression</w:t>
      </w:r>
    </w:p>
    <w:p>
      <w:pPr>
        <w:pStyle w:val="FirstParagraph"/>
      </w:pPr>
      <w:r>
        <w:t xml:space="preserve">Conservation des enregistrements et transcriptions :</w:t>
      </w:r>
      <w:r>
        <w:t xml:space="preserve"> </w:t>
      </w:r>
      <w:r>
        <w:rPr>
          <w:rStyle w:val="VerbatimChar"/>
        </w:rPr>
        <w:t xml:space="preserve">[durée, base]</w:t>
      </w:r>
      <w:r>
        <w:t xml:space="preserve">.</w:t>
      </w:r>
      <w:r>
        <w:t xml:space="preserve"> </w:t>
      </w:r>
      <w:r>
        <w:t xml:space="preserve">Supprimer dans l'application déplace une entrée vers un dossier</w:t>
      </w:r>
      <w:r>
        <w:t xml:space="preserve"> </w:t>
      </w:r>
      <w:r>
        <w:t xml:space="preserve">corbeille à l'intérieur de la bibliothèque (</w:t>
      </w:r>
      <w:r>
        <w:rPr>
          <w:rStyle w:val="VerbatimChar"/>
        </w:rPr>
        <w:t xml:space="preserve">_papierkorb</w:t>
      </w:r>
      <w:r>
        <w:t xml:space="preserve">) ; elle n'est</w:t>
      </w:r>
      <w:r>
        <w:t xml:space="preserve"> </w:t>
      </w:r>
      <w:r>
        <w:t xml:space="preserve">définitivement effacée qu'en vidant ce dossier</w:t>
      </w:r>
      <w:r>
        <w:t xml:space="preserve"> </w:t>
      </w:r>
      <w:r>
        <w:rPr>
          <w:rStyle w:val="VerbatimChar"/>
        </w:rPr>
        <w:t xml:space="preserve">[par qui, quand]</w:t>
      </w:r>
      <w:r>
        <w:t xml:space="preserve">. Les</w:t>
      </w:r>
      <w:r>
        <w:t xml:space="preserve"> </w:t>
      </w:r>
      <w:r>
        <w:t xml:space="preserve">instantanés d'historique se trouvent dans le dossier de la transcription</w:t>
      </w:r>
      <w:r>
        <w:t xml:space="preserve"> </w:t>
      </w:r>
      <w:r>
        <w:t xml:space="preserve">concernée et sont supprimés avec elle. Les sauvegardes de l'appareil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relèvent de la règle de suppression du responsable.</w:t>
      </w:r>
    </w:p>
    <w:bookmarkEnd w:id="16"/>
    <w:bookmarkStart w:id="17" w:name="X15dbdb9bf722985050c13fb85a2958b4b14e7cc"/>
    <w:p>
      <w:pPr>
        <w:pStyle w:val="Heading2"/>
      </w:pPr>
      <w:r>
        <w:t xml:space="preserve">8. Mesures techniques et organisationnelles</w:t>
      </w:r>
    </w:p>
    <w:p>
      <w:pPr>
        <w:pStyle w:val="FirstParagraph"/>
      </w:pPr>
      <w:r>
        <w:t xml:space="preserve">À la charge du responsable du traitement, le logiciel n'apportant</w:t>
      </w:r>
      <w:r>
        <w:t xml:space="preserve"> </w:t>
      </w:r>
      <w:r>
        <w:t xml:space="preserve">lui-même aucun contrôle d'accès :</w:t>
      </w:r>
    </w:p>
    <w:p>
      <w:pPr>
        <w:pStyle w:val="Compact"/>
        <w:numPr>
          <w:ilvl w:val="0"/>
          <w:numId w:val="1002"/>
        </w:numPr>
      </w:pPr>
      <w:r>
        <w:t xml:space="preserve">Chiffrement du disque, p. ex. FileVault :</w:t>
      </w:r>
      <w:r>
        <w:t xml:space="preserve"> </w:t>
      </w:r>
      <w:r>
        <w:rPr>
          <w:rStyle w:val="VerbatimChar"/>
        </w:rPr>
        <w:t xml:space="preserve">[actif depuis …]</w:t>
      </w:r>
    </w:p>
    <w:p>
      <w:pPr>
        <w:pStyle w:val="Compact"/>
        <w:numPr>
          <w:ilvl w:val="0"/>
          <w:numId w:val="1002"/>
        </w:numPr>
      </w:pPr>
      <w:r>
        <w:t xml:space="preserve">Protection d'accès à l'appareil (connexion, verrouillage d'écran) 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Pseudonymisation avant toute transmission — dans l'éditeur de</w:t>
      </w:r>
      <w:r>
        <w:t xml:space="preserve"> </w:t>
      </w:r>
      <w:r>
        <w:t xml:space="preserve">l'application, les locuteurs peuvent être renommés et les noms dans le</w:t>
      </w:r>
      <w:r>
        <w:t xml:space="preserve"> </w:t>
      </w:r>
      <w:r>
        <w:t xml:space="preserve">texte remplacés par rechercher-remplacer ; la décision de ce qu'il faut</w:t>
      </w:r>
      <w:r>
        <w:t xml:space="preserve"> </w:t>
      </w:r>
      <w:r>
        <w:t xml:space="preserve">remplacer revient à la personne qui édite :</w:t>
      </w:r>
      <w:r>
        <w:t xml:space="preserve"> </w:t>
      </w:r>
      <w:r>
        <w:rPr>
          <w:rStyle w:val="VerbatimChar"/>
        </w:rPr>
        <w:t xml:space="preserve">[procédure, responsabilité]</w:t>
      </w:r>
    </w:p>
    <w:p>
      <w:pPr>
        <w:pStyle w:val="Compact"/>
        <w:numPr>
          <w:ilvl w:val="0"/>
          <w:numId w:val="1002"/>
        </w:numPr>
      </w:pPr>
      <w:r>
        <w:t xml:space="preserve">Règle de sauvegarde 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Règle de transmission des fichiers d'export, en particulier ceux</w:t>
      </w:r>
      <w:r>
        <w:t xml:space="preserve"> </w:t>
      </w:r>
      <w:r>
        <w:t xml:space="preserve">contenant l'audio 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3d8386a95affd1f4d8ab2f366b33066056343b1"/>
    <w:p>
      <w:pPr>
        <w:pStyle w:val="Heading2"/>
      </w:pPr>
      <w:r>
        <w:t xml:space="preserve">9. Base légale et information des personnes concernées</w:t>
      </w:r>
    </w:p>
    <w:p>
      <w:pPr>
        <w:pStyle w:val="FirstParagraph"/>
      </w:pPr>
      <w:r>
        <w:rPr>
          <w:rStyle w:val="VerbatimChar"/>
        </w:rPr>
        <w:t xml:space="preserve">[consentement / intérêt légitime / privilège de recherche selon … ; lettre d'information du …]</w:t>
      </w:r>
      <w:r>
        <w:t xml:space="preserve">. Le logiciel n'y contribue en rien.</w:t>
      </w:r>
    </w:p>
    <w:bookmarkEnd w:id="18"/>
    <w:bookmarkStart w:id="19" w:name="Xa9e3a48b9e8c1ed6d9617ff0607a46fbaab9a8f"/>
    <w:p>
      <w:pPr>
        <w:pStyle w:val="Heading2"/>
      </w:pPr>
      <w:r>
        <w:t xml:space="preserve">10. Vérifiabilité</w:t>
      </w:r>
    </w:p>
    <w:p>
      <w:pPr>
        <w:pStyle w:val="FirstParagraph"/>
      </w:pPr>
      <w:r>
        <w:t xml:space="preserve">Les affirmations de la section 4 peuvent être vérifiées dans le code</w:t>
      </w:r>
      <w:r>
        <w:t xml:space="preserve"> </w:t>
      </w:r>
      <w:r>
        <w:t xml:space="preserve">source : la liaison du service interne à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et le rejet des</w:t>
      </w:r>
      <w:r>
        <w:t xml:space="preserve"> </w:t>
      </w:r>
      <w:r>
        <w:t xml:space="preserve">hôtes étrangers se trouvent dans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. Le dépôt contient toute la chaîne</w:t>
      </w:r>
      <w:r>
        <w:t xml:space="preserve"> </w:t>
      </w:r>
      <w:r>
        <w:t xml:space="preserve">de construction jusqu'au paquet d'installation signé ; qui ne fait pas</w:t>
      </w:r>
      <w:r>
        <w:t xml:space="preserve"> </w:t>
      </w:r>
      <w:r>
        <w:t xml:space="preserve">confiance au binaire distribué peut le compiler.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de ce texte :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(dossier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Il est publié sous CC BY 4.0 : utilisation et</w:t>
      </w:r>
      <w:r>
        <w:t xml:space="preserve"> </w:t>
      </w:r>
      <w:r>
        <w:t xml:space="preserve">adaptation libres, y compris commerciales, à condition de citer B/IAS</w:t>
      </w:r>
      <w:r>
        <w:t xml:space="preserve"> </w:t>
      </w:r>
      <w:r>
        <w:t xml:space="preserve">et d'indiquer les modifications.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2026-09-14T21:40:37Z</dcterms:created>
  <dcterms:modified xsi:type="dcterms:W3CDTF">2026-09-14T21:40:37Z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