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44"/>
          <w:szCs w:val="44"/>
        </w:rPr>
        <w:t xml:space="preserve">玄符侦探：我替爷爷守事务所  第一章《清代幽影》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48A81"/>
          <w:sz w:val="34"/>
          <w:szCs w:val="34"/>
        </w:rPr>
        <w:t xml:space="preserve">D-17  本地化与合规报告（Localization &amp; Compliance Report）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文 档 护 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本地化与合规报告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负责Agent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 本地化与合规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输入来源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 v1.0（剧情文案）/ D-06 v1.0+v1.1（NPC对话）/ D-08 AC-10（文案可读性）/ TikTok小游戏内容规范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输出给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/ 项目负责人（发布决策）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内部审批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P1总策划 ✓  Q3自查 ✓  →  提交人工审批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当前状态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21"/>
                <w:szCs w:val="21"/>
              </w:rPr>
              <w:t xml:space="preserve">[ IN REVIEW ]  —  本文档为预评估版本，正式评估在Demo完成后执行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一、评估说明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本文档由Q3本地化与合规Agent基于现有策划文档进行预评估。Demo完成后Q3将执行完整评估并更新本文档。风险等级：高（必须修复）/ 中（建议修复）/ 低（可接受）。</w:t>
      </w:r>
    </w:p>
    <w:p>
      <w:pPr>
        <w:pBdr>
          <w:left w:val="single" w:color="C0392B" w:sz="12" w:space="8"/>
        </w:pBdr>
        <w:spacing w:after="60" w:before="60"/>
        <w:ind w:left="24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高风险问题须立即上报P1，不得推迟至报告最后。本版本预评估未发现高风险问题，若正式评估发现高风险将立即更新本文档并上报。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二、TikTok平台内容合规评估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2.1 内容分级评估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400"/>
        <w:gridCol w:w="1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内容类型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游戏内体现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合规判断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风险等级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灵异/鬼魂元素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女鬼NPC-2、守墓人陶像、铜牌符文、《玄符秘录》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以民间信仰/文物研究为框架呈现，无直接宣扬封建迷信内容，符合「文化题材」分类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死亡/恐怖内容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4个死亡陷阱（画面黑暗/字幕）、女鬼视觉形象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死亡以「画面渐黑+文字」呈现，无血腥暴力；女鬼为半透明古典形象，非猎奇恐怖，符合12+分级标准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历史/文物内容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清代文物展览、光绪年号、历史档案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以博物馆为背景，文物陈列有历史依据，无篡改历史事实内容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广告内容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激励视频广告（死亡后）、提示系统广告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激励广告为可选项（非强制），月卡可跳过，符合TikTok小游戏广告规范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用户数据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TikTok账号绑定存档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仅使用TikTok Minis SDK标准Storage API，不收集额外用户数据，符合隐私规范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付费内容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月卡订阅（免广告）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月卡为可选付费，不影响通关，非强制付费，符合「不强制付费」规范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低风险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2.2 需关注的合规事项（中风险）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事项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建议处理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符文视觉设计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铜牌四方位符文和《玄符秘录》图案需确认不与现实宗教符号高度相似（如十字架、五芒星等）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M1生成铜牌符文后，Q3执行视觉确认，确保为虚构原创设计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「朱砂」道具名称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「朱砂」在某些平台语境下可能被过滤，需确认TikTok关键词过滤是否触发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正式评估阶段在TikTok平台发布前执行关键词测试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「符咒/符纸」相关文案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「符咒」相关词汇在部分平台受限，需在实际上架时测试平台审核通过情况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上架前Q3执行平台关键词合规检测，备选替换词「符文纸」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三、中文文案质量评估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3.1 文案校对（基于D-05和D-06）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以下为对已有文案的预校对，正式评估在Demo完成后对游戏内实际显示文案执行完整校对。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2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文案来源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核查内容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预评估结论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D-05开场独白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馆长电话、林砚内心描述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文案通顺，无错别字，语气符合人物性格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正式评估时确认游戏内字体渲染无乱码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D-06 NPC对话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保安、女鬼、守墓人（无语言）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保安对话有意识模糊感，文法符合设计；女鬼台词极简，标点使用正确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「娘亲」用词符合清代语境，保留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D-05主线钩子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铜牌批注、吴老三消息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「此物危，切勿启封」文言风格恰当；「小林侦探」称谓自然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「壬午年」换算说明（三十年前）清晰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D-07谜题提示文案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展柜铭牌、底座刻字、便利贴等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「此展柜受古法护体，切勿强取」/「三炷香，依序敬」等文案简洁有古朴感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正式评估时确认所有场景内文案字号≥18px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3.2 文案可读性标准（AC-10）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可读性项目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标准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检查方法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风险等级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正文字号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≥22px（对应D-11规范正文22px）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在真实手机上截图后测量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注释字号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≥18px（D-11规范注释18px）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在真实手机上截图后测量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文字对比度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前景色与背景色对比度≥4.5:1（WCAG AA标准）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使用对比度检测工具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场景内提示文案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场景中所有可见的提示文字（铭牌/刻字/便利贴）在手机屏幕上无需放大即可读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Q3在真实手机上执行可读性确认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1"/>
                <w:szCs w:val="21"/>
              </w:rPr>
              <w:t xml:space="preserve">中风险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四、本地化就绪评估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4.1 当前版本语言范围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当前版本：简体中文（唯一语言）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文案硬编码风险：D-13/D-14建议M4将所有文案外置到配置文件（strings_zh_CN.json），便于后续多语言扩展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字体授权：游戏使用思源黑体和思源宋体（Google Fonts / Adobe开源字体），商业使用免授权费用，合规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4.2 后续多语言扩展建议（不在当前版本范围）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繁体中文（台湾/香港市场）：转换工作量小，建议在正式版第一优先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英文版：NPC对话文案的文言风格翻译难度较高，建议外包专业译者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日文版：日本解谜游戏市场成熟，有商业价值，可作为第三优先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五、正式评估执行计划</w:t>
      </w:r>
    </w:p>
    <w:p>
      <w:pPr>
        <w:pBdr>
          <w:left w:val="single" w:color="048A81" w:sz="12" w:space="8"/>
        </w:pBdr>
        <w:spacing w:after="60" w:before="60"/>
        <w:ind w:left="240"/>
      </w:pPr>
      <w:r>
        <w:rPr>
          <w:rFonts w:ascii="Arial" w:cs="Arial" w:eastAsia="Arial" w:hAnsi="Arial"/>
          <w:color w:val="048A81"/>
          <w:sz w:val="22"/>
          <w:szCs w:val="22"/>
        </w:rPr>
        <w:t xml:space="preserve">以下检查项在Demo完成后由Q3执行，完成后更新本文档为「正式评估版」。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执行方式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完成标准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铜牌符文视觉合规确认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Q3人工核查M1生成的铜牌图像，确认符文为虚构原创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确认无现实宗教符号相似性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「朱砂/符咒」关键词平台测试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在TikTok小游戏平台提交测试版本，观察审核反馈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通过平台审核，无关键词警告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全文案逐条校对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Q3对Demo包内所有显示文案执行完整校对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无错别字、无语法错误、标点规范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可读性真机测试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在iPhone 12和Android主流机型上逐场景检查文案可读性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所有文案无需放大即可清晰阅读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广告合规确认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确认激励广告和提示广告的触发逻辑符合TikTok广告规范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广告展示频率和形式符合平台规范</w:t>
            </w:r>
          </w:p>
        </w:tc>
      </w:tr>
    </w:tbl>
    <w:p>
      <w:pPr>
        <w:pBdr>
          <w:bottom w:val="thick" w:color="2E4057" w:sz="8" w:space="1"/>
        </w:pBdr>
        <w:spacing w:after="0" w:before="24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内部审批记录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48A81"/>
          <w:sz w:val="26"/>
          <w:szCs w:val="26"/>
        </w:rPr>
        <w:t xml:space="preserve">P1 总策划——审查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对照文档：D-05 v1.0 / D-06 v1.0+v1.1 / D-08 AC-10 / D-11 v1.0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26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上游要求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实际内容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内容合规预评估覆盖主要风险项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TikTok平台内容规范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灵异/死亡/历史/广告/用户数据/付费内容六类全部评估，未发现高风险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中风险问题已标注处理建议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Q3职责：标注风险等级和修改建议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符文视觉/朱砂关键词/符咒文案三条中风险已列出具体检查方法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文案校对基于已有文档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D-05/D-06文案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预校对覆盖开场/NPC对话/主线钩子/谜题提示文案，无发现问题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正式评估计划完整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Demo完成后执行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五项正式评估检查项清晰，执行方式和完成标准明确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6"/>
        <w:gridCol w:w="2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审批人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审批意见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结论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P1 总策划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D-17预评估版本完整，未发现高风险问题，三条中风险均有具体处理建议。正式评估计划清晰可执行。建议提交人工审批。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21"/>
                <w:szCs w:val="21"/>
              </w:rPr>
              <w:t xml:space="preserve">✓ 通过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7500A" w:sz="4"/>
        </w:pBdr>
        <w:spacing w:before="120"/>
        <w:jc w:val="center"/>
      </w:pPr>
      <w:r>
        <w:rPr>
          <w:rFonts w:ascii="Arial" w:cs="Arial" w:eastAsia="Arial" w:hAnsi="Arial"/>
          <w:b/>
          <w:bCs/>
          <w:color w:val="27500A"/>
          <w:sz w:val="18"/>
          <w:szCs w:val="18"/>
        </w:rPr>
        <w:t xml:space="preserve">内部审批全部通过   |   状态：[ IN REVIEW ]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E9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2026-04-29T08:08:51.892Z</dcterms:created>
  <dcterms:modified xsi:type="dcterms:W3CDTF">2026-04-29T08:08:51.892Z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