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60"/>
      </w:tblGrid>
      <w:tr>
        <w:tblPrEx>
          <w:shd w:val="clear" w:color="auto" w:fill="auto"/>
        </w:tblPrEx>
        <w:trPr>
          <w:trHeight w:val="6060" w:hRule="atLeast"/>
        </w:trPr>
        <w:tc>
          <w:tcPr>
            <w:tcW w:type="dxa" w:w="93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r>
              <w:rPr>
                <w:rFonts w:ascii="Cambria"/>
                <w:smallCaps w:val="1"/>
                <w:strike w:val="0"/>
                <w:dstrike w:val="0"/>
                <w:outline w:val="0"/>
                <w:color w:val="000000"/>
                <w:spacing w:val="0"/>
                <w:kern w:val="0"/>
                <w:position w:val="0"/>
                <w:sz w:val="20"/>
                <w:szCs w:val="20"/>
                <w:u w:val="none" w:color="000000"/>
                <w:vertAlign w:val="baseline"/>
                <w:rtl w:val="0"/>
                <w:lang w:val="en-US"/>
              </w:rPr>
              <w:t>ENDEAVOUR VOLUNTEER CONSULTING FOR NON-PROFITS (ENDEAVOUR)</w:t>
            </w: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rPr>
                <w:rFonts w:ascii="Cambria" w:cs="Cambria" w:hAnsi="Cambria" w:eastAsia="Cambria"/>
                <w:smallCaps w:val="1"/>
                <w:strike w:val="0"/>
                <w:dstrike w:val="0"/>
                <w:outline w:val="0"/>
                <w:color w:val="000000"/>
                <w:spacing w:val="0"/>
                <w:kern w:val="0"/>
                <w:position w:val="0"/>
                <w:sz w:val="20"/>
                <w:szCs w:val="20"/>
                <w:u w:val="none" w:color="000000"/>
                <w:vertAlign w:val="baseline"/>
                <w:rtl w:val="0"/>
                <w:lang w:val="en-US"/>
              </w:rPr>
            </w:pPr>
          </w:p>
          <w:p>
            <w:pPr>
              <w:pStyle w:val="Body"/>
              <w:spacing w:after="0" w:line="240" w:lineRule="auto"/>
              <w:jc w:val="center"/>
            </w:pPr>
            <w:r>
              <w:rPr>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3305175" cy="1038769"/>
                  <wp:effectExtent l="0" t="0" r="0" b="0"/>
                  <wp:docPr id="1073741827" name="officeArt object" descr="Connected in Motion"/>
                  <wp:cNvGraphicFramePr/>
                  <a:graphic xmlns:a="http://schemas.openxmlformats.org/drawingml/2006/main">
                    <a:graphicData uri="http://schemas.openxmlformats.org/drawingml/2006/picture">
                      <pic:pic xmlns:pic="http://schemas.openxmlformats.org/drawingml/2006/picture">
                        <pic:nvPicPr>
                          <pic:cNvPr id="1073741827" name="image2.png" descr="Connected in Motion"/>
                          <pic:cNvPicPr/>
                        </pic:nvPicPr>
                        <pic:blipFill>
                          <a:blip r:embed="rId4">
                            <a:extLst/>
                          </a:blip>
                          <a:stretch>
                            <a:fillRect/>
                          </a:stretch>
                        </pic:blipFill>
                        <pic:spPr>
                          <a:xfrm>
                            <a:off x="0" y="0"/>
                            <a:ext cx="3305175" cy="1038769"/>
                          </a:xfrm>
                          <a:prstGeom prst="rect">
                            <a:avLst/>
                          </a:prstGeom>
                          <a:ln w="12700" cap="flat">
                            <a:noFill/>
                            <a:miter lim="400000"/>
                          </a:ln>
                          <a:effectLst/>
                        </pic:spPr>
                      </pic:pic>
                    </a:graphicData>
                  </a:graphic>
                </wp:inline>
              </w:drawing>
            </w:r>
          </w:p>
        </w:tc>
      </w:tr>
      <w:tr>
        <w:tblPrEx>
          <w:shd w:val="clear" w:color="auto" w:fill="auto"/>
        </w:tblPrEx>
        <w:trPr>
          <w:trHeight w:val="1885" w:hRule="atLeast"/>
        </w:trPr>
        <w:tc>
          <w:tcPr>
            <w:tcW w:type="dxa" w:w="9360"/>
            <w:tcBorders>
              <w:top w:val="nil"/>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Body"/>
              <w:spacing w:after="0" w:line="240" w:lineRule="auto"/>
              <w:jc w:val="center"/>
              <w:rPr>
                <w:rFonts w:ascii="Cambria" w:cs="Cambria" w:hAnsi="Cambria" w:eastAsia="Cambria"/>
                <w:caps w:val="0"/>
                <w:smallCaps w:val="0"/>
                <w:strike w:val="0"/>
                <w:dstrike w:val="0"/>
                <w:outline w:val="0"/>
                <w:color w:val="000000"/>
                <w:spacing w:val="0"/>
                <w:kern w:val="0"/>
                <w:position w:val="0"/>
                <w:sz w:val="80"/>
                <w:szCs w:val="80"/>
                <w:u w:val="none" w:color="000000"/>
                <w:vertAlign w:val="baseline"/>
                <w:rtl w:val="0"/>
                <w:lang w:val="en-US"/>
              </w:rPr>
            </w:pPr>
            <w:r>
              <w:rPr>
                <w:rFonts w:ascii="Cambria"/>
                <w:caps w:val="0"/>
                <w:smallCaps w:val="0"/>
                <w:strike w:val="0"/>
                <w:dstrike w:val="0"/>
                <w:outline w:val="0"/>
                <w:color w:val="000000"/>
                <w:spacing w:val="0"/>
                <w:kern w:val="0"/>
                <w:position w:val="0"/>
                <w:sz w:val="80"/>
                <w:szCs w:val="80"/>
                <w:u w:val="none" w:color="000000"/>
                <w:vertAlign w:val="baseline"/>
                <w:rtl w:val="0"/>
                <w:lang w:val="en-US"/>
              </w:rPr>
              <w:t>Statement of Work</w:t>
            </w:r>
          </w:p>
        </w:tc>
      </w:tr>
      <w:tr>
        <w:tblPrEx>
          <w:shd w:val="clear" w:color="auto" w:fill="auto"/>
        </w:tblPrEx>
        <w:trPr>
          <w:trHeight w:val="570" w:hRule="atLeast"/>
        </w:trPr>
        <w:tc>
          <w:tcPr>
            <w:tcW w:type="dxa" w:w="9360"/>
            <w:tcBorders>
              <w:top w:val="single" w:color="4f81bd" w:sz="4" w:space="0" w:shadow="0" w:frame="0"/>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jc w:val="center"/>
            </w:pPr>
            <w:r>
              <w:rPr>
                <w:rFonts w:ascii="Cambria"/>
                <w:caps w:val="0"/>
                <w:smallCaps w:val="0"/>
                <w:strike w:val="0"/>
                <w:dstrike w:val="0"/>
                <w:outline w:val="0"/>
                <w:color w:val="000000"/>
                <w:spacing w:val="0"/>
                <w:kern w:val="0"/>
                <w:position w:val="0"/>
                <w:sz w:val="44"/>
                <w:szCs w:val="44"/>
                <w:u w:val="none" w:color="000000"/>
                <w:vertAlign w:val="baseline"/>
                <w:rtl w:val="0"/>
                <w:lang w:val="en-US"/>
              </w:rPr>
              <w:t>Connected in Motion</w:t>
            </w:r>
          </w:p>
        </w:tc>
      </w:tr>
      <w:tr>
        <w:tblPrEx>
          <w:shd w:val="clear" w:color="auto" w:fill="auto"/>
        </w:tblPrEx>
        <w:trPr>
          <w:trHeight w:val="260" w:hRule="atLeast"/>
        </w:trPr>
        <w:tc>
          <w:tcPr>
            <w:tcW w:type="dxa" w:w="9360"/>
            <w:tcBorders>
              <w:top w:val="nil"/>
              <w:left w:val="nil"/>
              <w:bottom w:val="nil"/>
              <w:right w:val="nil"/>
            </w:tcBorders>
            <w:shd w:val="clear" w:color="auto" w:fill="auto"/>
            <w:tcMar>
              <w:top w:type="dxa" w:w="80"/>
              <w:left w:type="dxa" w:w="80"/>
              <w:bottom w:type="dxa" w:w="80"/>
              <w:right w:type="dxa" w:w="80"/>
            </w:tcMar>
            <w:vAlign w:val="center"/>
          </w:tcPr>
          <w:p/>
        </w:tc>
      </w:tr>
      <w:tr>
        <w:tblPrEx>
          <w:shd w:val="clear" w:color="auto" w:fill="auto"/>
        </w:tblPrEx>
        <w:trPr>
          <w:trHeight w:val="280" w:hRule="atLeast"/>
        </w:trPr>
        <w:tc>
          <w:tcPr>
            <w:tcW w:type="dxa" w:w="9360"/>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jc w:val="center"/>
            </w:pPr>
            <w:r>
              <w:rPr>
                <w:b w:val="1"/>
                <w:bCs w:val="1"/>
                <w:caps w:val="0"/>
                <w:smallCaps w:val="0"/>
                <w:strike w:val="0"/>
                <w:dstrike w:val="0"/>
                <w:outline w:val="0"/>
                <w:color w:val="000000"/>
                <w:spacing w:val="0"/>
                <w:kern w:val="0"/>
                <w:position w:val="0"/>
                <w:sz w:val="24"/>
                <w:szCs w:val="24"/>
                <w:u w:val="none" w:color="000000"/>
                <w:vertAlign w:val="baseline"/>
                <w:rtl w:val="0"/>
                <w:lang w:val="en-US"/>
              </w:rPr>
              <w:t>Strategic Planning and Fundraising Strategy</w:t>
            </w:r>
          </w:p>
        </w:tc>
      </w:tr>
      <w:tr>
        <w:tblPrEx>
          <w:shd w:val="clear" w:color="auto" w:fill="auto"/>
        </w:tblPrEx>
        <w:trPr>
          <w:trHeight w:val="520" w:hRule="atLeast"/>
        </w:trPr>
        <w:tc>
          <w:tcPr>
            <w:tcW w:type="dxa" w:w="9360"/>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jc w:val="center"/>
              <w:rPr>
                <w:b w:val="1"/>
                <w:bCs w:val="1"/>
                <w:caps w:val="0"/>
                <w:smallCaps w:val="0"/>
                <w:strike w:val="0"/>
                <w:dstrike w:val="0"/>
                <w:outline w:val="0"/>
                <w:color w:val="000000"/>
                <w:spacing w:val="0"/>
                <w:kern w:val="0"/>
                <w:position w:val="0"/>
                <w:sz w:val="20"/>
                <w:szCs w:val="20"/>
                <w:u w:val="none" w:color="000000"/>
                <w:vertAlign w:val="baseline"/>
                <w:rtl w:val="0"/>
                <w:lang w:val="en-US"/>
              </w:rPr>
            </w:pPr>
            <w:r>
              <w:rPr>
                <w:b w:val="1"/>
                <w:bCs w:val="1"/>
                <w:caps w:val="0"/>
                <w:smallCaps w:val="0"/>
                <w:strike w:val="0"/>
                <w:dstrike w:val="0"/>
                <w:outline w:val="0"/>
                <w:color w:val="000000"/>
                <w:spacing w:val="0"/>
                <w:kern w:val="0"/>
                <w:position w:val="0"/>
                <w:sz w:val="20"/>
                <w:szCs w:val="20"/>
                <w:u w:val="none" w:color="000000"/>
                <w:vertAlign w:val="baseline"/>
                <w:rtl w:val="0"/>
                <w:lang w:val="en-US"/>
              </w:rPr>
              <w:t xml:space="preserve">Round 16 </w:t>
            </w:r>
          </w:p>
          <w:p>
            <w:pPr>
              <w:pStyle w:val="Body"/>
              <w:spacing w:after="0" w:line="240" w:lineRule="auto"/>
              <w:jc w:val="center"/>
            </w:pPr>
            <w:r>
              <w:rPr>
                <w:b w:val="1"/>
                <w:bCs w:val="1"/>
                <w:caps w:val="0"/>
                <w:smallCaps w:val="0"/>
                <w:strike w:val="0"/>
                <w:dstrike w:val="0"/>
                <w:outline w:val="0"/>
                <w:color w:val="000000"/>
                <w:spacing w:val="0"/>
                <w:kern w:val="0"/>
                <w:position w:val="0"/>
                <w:sz w:val="20"/>
                <w:szCs w:val="20"/>
                <w:u w:val="none" w:color="000000"/>
                <w:vertAlign w:val="baseline"/>
                <w:rtl w:val="0"/>
                <w:lang w:val="en-US"/>
              </w:rPr>
              <w:t>2015</w:t>
            </w:r>
          </w:p>
        </w:tc>
      </w:tr>
    </w:tbl>
    <w:p>
      <w:pPr>
        <w:pStyle w:val="Body"/>
        <w:widowControl w:val="0"/>
        <w:spacing w:line="240" w:lineRule="auto"/>
        <w:jc w:val="center"/>
      </w:pPr>
    </w:p>
    <w:p>
      <w:pPr>
        <w:pStyle w:val="Body"/>
      </w:pPr>
      <w:r>
        <w:rPr>
          <w:rtl w:val="0"/>
        </w:rPr>
        <w:br w:type="page"/>
      </w:r>
    </w:p>
    <w:p>
      <w:pPr>
        <w:pStyle w:val="Body"/>
        <w:rPr>
          <w:rtl w:val="0"/>
        </w:rPr>
      </w:pPr>
    </w:p>
    <w:p>
      <w:pPr>
        <w:pStyle w:val="Body"/>
        <w:rPr>
          <w:b w:val="1"/>
          <w:bCs w:val="1"/>
          <w:sz w:val="28"/>
          <w:szCs w:val="28"/>
        </w:rPr>
      </w:pPr>
      <w:r>
        <w:rPr>
          <w:rFonts w:ascii="Calibri" w:cs="Arial Unicode MS" w:hAnsi="Arial Unicode MS" w:eastAsia="Arial Unicode MS"/>
          <w:b w:val="1"/>
          <w:bCs w:val="1"/>
          <w:sz w:val="28"/>
          <w:szCs w:val="28"/>
          <w:rtl w:val="0"/>
          <w:lang w:val="en-US"/>
        </w:rPr>
        <w:t>Table of Contents</w:t>
      </w:r>
    </w:p>
    <w:p>
      <w:pPr>
        <w:pStyle w:val="TOC Heading"/>
        <w:rPr>
          <w:b w:val="1"/>
          <w:bCs w:val="1"/>
          <w:sz w:val="28"/>
          <w:szCs w:val="28"/>
        </w:rPr>
      </w:pPr>
    </w:p>
    <w:p>
      <w:pPr>
        <w:pStyle w:val="Body"/>
      </w:pPr>
      <w:r>
        <w:rPr>
          <w:b w:val="1"/>
          <w:bCs w:val="1"/>
          <w:sz w:val="28"/>
          <w:szCs w:val="28"/>
        </w:rPr>
        <w:fldChar w:fldCharType="begin" w:fldLock="0"/>
      </w:r>
      <w:r>
        <w:rPr>
          <w:b w:val="1"/>
          <w:bCs w:val="1"/>
          <w:sz w:val="28"/>
          <w:szCs w:val="28"/>
        </w:rPr>
        <w:t xml:space="preserve"> TOC \o 2-3 \t "Heading, 4"</w:t>
      </w:r>
      <w:r>
        <w:rPr>
          <w:b w:val="1"/>
          <w:bCs w:val="1"/>
          <w:sz w:val="28"/>
          <w:szCs w:val="28"/>
        </w:rPr>
        <w:fldChar w:fldCharType="separate"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Executive Summary</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Background</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Problem Definition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Objectives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Sponsors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Approach</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Deliverables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5"/>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Items with-in-scope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5"/>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Items out-of-scope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5"/>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Assumptions and Constraints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Schedule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Communications Plan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Resource Requirements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6"/>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Client Human Resources Available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6"/>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Client Document Resources Available and Expected</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6"/>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Consulting Hours Available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Team Structure, Roles, and Responsibilities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7"/>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Responsibilities of Consulting Team</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2"/>
          <w:numId w:val="9"/>
        </w:numPr>
        <w:ind w:left="116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Responsibilities of Engagement Manager</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2"/>
          <w:numId w:val="9"/>
        </w:numPr>
        <w:ind w:left="116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Responsibilities of Consultants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7"/>
        </w:numPr>
        <w:ind w:left="77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Responsibilities of Project Advisor</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Deviation Disclaimer</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Client Agreement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Change Request Procedure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Sign-Off on Statement of Work</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Project Contributors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numPr>
          <w:ilvl w:val="0"/>
          <w:numId w:val="3"/>
        </w:numPr>
        <w:ind w:left="37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About Endeavour</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rPr>
          <w:color w:val="000000"/>
          <w:u w:color="000000"/>
        </w:rPr>
      </w:pPr>
      <w:r>
        <w:rPr>
          <w:b w:val="1"/>
          <w:bCs w:val="1"/>
          <w:sz w:val="28"/>
          <w:szCs w:val="28"/>
        </w:rPr>
        <w:fldChar w:fldCharType="end" w:fldLock="0"/>
      </w:r>
    </w:p>
    <w:p>
      <w:pPr>
        <w:pStyle w:val="Body"/>
      </w:pPr>
      <w:r>
        <w:rPr>
          <w:rtl w:val="0"/>
        </w:rPr>
        <w:br w:type="page"/>
      </w:r>
    </w:p>
    <w:p>
      <w:pPr>
        <w:pStyle w:val="Body"/>
        <w:rPr>
          <w:rtl w:val="0"/>
        </w:rPr>
      </w:pPr>
    </w:p>
    <w:p>
      <w:pPr>
        <w:pStyle w:val="Body"/>
        <w:rPr>
          <w:rtl w:val="0"/>
        </w:rPr>
      </w:pPr>
    </w:p>
    <w:p>
      <w:pPr>
        <w:pStyle w:val="Heading"/>
        <w:numPr>
          <w:ilvl w:val="0"/>
          <w:numId w:val="10"/>
        </w:numPr>
        <w:tabs>
          <w:tab w:val="num" w:pos="720"/>
          <w:tab w:val="clear" w:pos="0"/>
        </w:tabs>
        <w:ind w:left="432" w:firstLine="0"/>
        <w:rPr>
          <w:position w:val="0"/>
          <w:rtl w:val="0"/>
        </w:rPr>
      </w:pPr>
      <w:bookmarkStart w:name="_Toc" w:id="0"/>
      <w:r>
        <w:rPr>
          <w:rtl w:val="0"/>
          <w:lang w:val="en-US"/>
        </w:rPr>
        <w:t>Executive Summary</w:t>
      </w:r>
      <w:bookmarkEnd w:id="0"/>
    </w:p>
    <w:p>
      <w:pPr>
        <w:pStyle w:val="Body"/>
        <w:rPr>
          <w:rtl w:val="0"/>
        </w:rPr>
      </w:pPr>
      <w:r>
        <w:rPr>
          <w:rFonts w:ascii="Calibri" w:cs="Arial Unicode MS" w:hAnsi="Arial Unicode MS" w:eastAsia="Arial Unicode MS"/>
          <w:rtl w:val="0"/>
        </w:rPr>
        <w:t xml:space="preserve"> </w:t>
      </w:r>
    </w:p>
    <w:p>
      <w:pPr>
        <w:pStyle w:val="Body"/>
        <w:ind w:left="450" w:firstLine="0"/>
        <w:jc w:val="both"/>
        <w:rPr>
          <w:rtl w:val="0"/>
        </w:rPr>
      </w:pPr>
      <w:r>
        <w:rPr>
          <w:rtl w:val="0"/>
          <w:lang w:val="en-US"/>
        </w:rPr>
        <w:t xml:space="preserve">This Statement of Work (SOW) is dated as of </w:t>
      </w:r>
      <w:r>
        <w:rPr>
          <w:shd w:val="clear" w:color="auto" w:fill="ffff00"/>
          <w:rtl w:val="0"/>
        </w:rPr>
        <w:t>XXXX</w:t>
      </w:r>
      <w:r>
        <w:rPr>
          <w:rtl w:val="0"/>
          <w:lang w:val="en-US"/>
        </w:rPr>
        <w:t xml:space="preserve"> between the Endeavour Volunteer Consulting for Non-profits (EVCN) and Connected in Motion</w:t>
      </w:r>
      <w:r>
        <w:rPr>
          <w:rFonts w:hAnsi="Calibri" w:hint="default"/>
          <w:rtl w:val="0"/>
        </w:rPr>
        <w:t> </w:t>
      </w:r>
      <w:r>
        <w:rPr>
          <w:rtl w:val="0"/>
          <w:lang w:val="en-US"/>
        </w:rPr>
        <w:t xml:space="preserve">(CIM) for the purpose of a strategic planning and fundraising strategy consulting engagement in the Spring 2015 session. </w:t>
      </w:r>
    </w:p>
    <w:p>
      <w:pPr>
        <w:pStyle w:val="Body"/>
        <w:ind w:left="450" w:firstLine="0"/>
        <w:jc w:val="both"/>
        <w:rPr>
          <w:rtl w:val="0"/>
        </w:rPr>
      </w:pPr>
      <w:r>
        <w:rPr>
          <w:rtl w:val="0"/>
          <w:lang w:val="en-US"/>
        </w:rPr>
        <w:t>The EVCN provides management consulting to small to medium non-profit organizations to improve organizational capacity and community impact.</w:t>
      </w:r>
    </w:p>
    <w:p>
      <w:pPr>
        <w:pStyle w:val="Body"/>
        <w:ind w:left="450" w:firstLine="0"/>
        <w:rPr>
          <w:rtl w:val="0"/>
        </w:rPr>
      </w:pPr>
      <w:r>
        <w:rPr>
          <w:rtl w:val="0"/>
          <w:lang w:val="en-US"/>
        </w:rPr>
        <w:t>CIM is a health-based education group focused on fostering a community of people living with Type 1 diabetes. CIM</w:t>
      </w:r>
      <w:r>
        <w:rPr>
          <w:rFonts w:hAnsi="Calibri" w:hint="default"/>
          <w:rtl w:val="0"/>
          <w:lang w:val="fr-FR"/>
        </w:rPr>
        <w:t>’</w:t>
      </w:r>
      <w:r>
        <w:rPr>
          <w:rtl w:val="0"/>
          <w:lang w:val="en-US"/>
        </w:rPr>
        <w:t>s aim is to create a culture of support and engagement in diabetes self-management through peer-based experiential diabetes education and outdoor adventure pursuits. CIM</w:t>
      </w:r>
      <w:r>
        <w:rPr>
          <w:rFonts w:hAnsi="Calibri" w:hint="default"/>
          <w:rtl w:val="0"/>
          <w:lang w:val="fr-FR"/>
        </w:rPr>
        <w:t>’</w:t>
      </w:r>
      <w:r>
        <w:rPr>
          <w:rtl w:val="0"/>
          <w:lang w:val="en-US"/>
        </w:rPr>
        <w:t>s long-term vision is to grow the size of the organization by expanding geographically across Canada and in the United States.</w:t>
      </w:r>
    </w:p>
    <w:p>
      <w:pPr>
        <w:pStyle w:val="Body"/>
        <w:ind w:left="450" w:firstLine="0"/>
        <w:jc w:val="both"/>
        <w:rPr>
          <w:rtl w:val="0"/>
        </w:rPr>
      </w:pPr>
      <w:r>
        <w:rPr>
          <w:rtl w:val="0"/>
          <w:lang w:val="en-US"/>
        </w:rPr>
        <w:t xml:space="preserve">The EVCN team will work, in collaboration with the CIM, to address strategic planning concerns and fundraising sustainability by helping CIM develop a 5-year strategic plan, evaluate current and potential revenue streams, and formulate a fundraising strategic document. </w:t>
      </w:r>
    </w:p>
    <w:p>
      <w:pPr>
        <w:pStyle w:val="Body"/>
        <w:ind w:left="450" w:firstLine="0"/>
        <w:jc w:val="both"/>
        <w:rPr>
          <w:rtl w:val="0"/>
        </w:rPr>
      </w:pPr>
      <w:r>
        <w:rPr>
          <w:rtl w:val="0"/>
          <w:lang w:val="en-US"/>
        </w:rPr>
        <w:t>The EVCN team proposes a four-phase approach consisting of:</w:t>
      </w:r>
    </w:p>
    <w:p>
      <w:pPr>
        <w:pStyle w:val="List Paragraph"/>
        <w:numPr>
          <w:ilvl w:val="0"/>
          <w:numId w:val="13"/>
        </w:numPr>
        <w:tabs>
          <w:tab w:val="num" w:pos="810"/>
          <w:tab w:val="clear" w:pos="0"/>
        </w:tabs>
        <w:ind w:left="810" w:hanging="360"/>
        <w:jc w:val="both"/>
        <w:rPr>
          <w:position w:val="0"/>
          <w:rtl w:val="0"/>
        </w:rPr>
      </w:pPr>
      <w:r>
        <w:rPr>
          <w:rtl w:val="0"/>
          <w:lang w:val="en-US"/>
        </w:rPr>
        <w:t xml:space="preserve">Organizational Analysis, </w:t>
      </w:r>
    </w:p>
    <w:p>
      <w:pPr>
        <w:pStyle w:val="List Paragraph"/>
        <w:numPr>
          <w:ilvl w:val="0"/>
          <w:numId w:val="13"/>
        </w:numPr>
        <w:tabs>
          <w:tab w:val="num" w:pos="810"/>
          <w:tab w:val="clear" w:pos="0"/>
        </w:tabs>
        <w:ind w:left="810" w:hanging="360"/>
        <w:jc w:val="both"/>
        <w:rPr>
          <w:position w:val="0"/>
          <w:rtl w:val="0"/>
        </w:rPr>
      </w:pPr>
      <w:r>
        <w:rPr>
          <w:rtl w:val="0"/>
          <w:lang w:val="en-US"/>
        </w:rPr>
        <w:t xml:space="preserve">Strategic Planning, </w:t>
      </w:r>
    </w:p>
    <w:p>
      <w:pPr>
        <w:pStyle w:val="List Paragraph"/>
        <w:numPr>
          <w:ilvl w:val="0"/>
          <w:numId w:val="13"/>
        </w:numPr>
        <w:tabs>
          <w:tab w:val="num" w:pos="810"/>
          <w:tab w:val="clear" w:pos="0"/>
        </w:tabs>
        <w:ind w:left="810" w:hanging="360"/>
        <w:jc w:val="both"/>
        <w:rPr>
          <w:position w:val="0"/>
          <w:rtl w:val="0"/>
        </w:rPr>
      </w:pPr>
      <w:r>
        <w:rPr>
          <w:rtl w:val="0"/>
          <w:lang w:val="en-US"/>
        </w:rPr>
        <w:t xml:space="preserve">Fundraising Formulative Evaluation and Revenue Stream Assessment </w:t>
      </w:r>
    </w:p>
    <w:p>
      <w:pPr>
        <w:pStyle w:val="List Paragraph"/>
        <w:numPr>
          <w:ilvl w:val="0"/>
          <w:numId w:val="13"/>
        </w:numPr>
        <w:tabs>
          <w:tab w:val="num" w:pos="810"/>
          <w:tab w:val="clear" w:pos="0"/>
        </w:tabs>
        <w:ind w:left="810" w:hanging="360"/>
        <w:jc w:val="both"/>
        <w:rPr>
          <w:position w:val="0"/>
          <w:rtl w:val="0"/>
        </w:rPr>
      </w:pPr>
      <w:r>
        <w:rPr>
          <w:rtl w:val="0"/>
          <w:lang w:val="en-US"/>
        </w:rPr>
        <w:t>Fundraising Strategy</w:t>
      </w:r>
    </w:p>
    <w:p>
      <w:pPr>
        <w:pStyle w:val="Body"/>
        <w:ind w:left="450" w:firstLine="0"/>
        <w:jc w:val="both"/>
        <w:rPr>
          <w:rtl w:val="0"/>
        </w:rPr>
      </w:pPr>
      <w:r>
        <w:rPr>
          <w:rtl w:val="0"/>
          <w:lang w:val="en-US"/>
        </w:rPr>
        <w:t xml:space="preserve">The EVCN team will provide the following deliverables to CIM: </w:t>
      </w:r>
    </w:p>
    <w:p>
      <w:pPr>
        <w:pStyle w:val="List Paragraph"/>
        <w:numPr>
          <w:ilvl w:val="0"/>
          <w:numId w:val="16"/>
        </w:numPr>
        <w:tabs>
          <w:tab w:val="num" w:pos="810"/>
          <w:tab w:val="clear" w:pos="0"/>
        </w:tabs>
        <w:ind w:left="810" w:hanging="360"/>
        <w:jc w:val="both"/>
        <w:rPr>
          <w:position w:val="0"/>
          <w:rtl w:val="0"/>
        </w:rPr>
      </w:pPr>
      <w:r>
        <w:rPr>
          <w:rtl w:val="0"/>
          <w:lang w:val="en-US"/>
        </w:rPr>
        <w:t>5-year strategic plan, developed in collaboration with CIM stakeholders</w:t>
      </w:r>
    </w:p>
    <w:p>
      <w:pPr>
        <w:pStyle w:val="List Paragraph"/>
        <w:numPr>
          <w:ilvl w:val="0"/>
          <w:numId w:val="16"/>
        </w:numPr>
        <w:tabs>
          <w:tab w:val="num" w:pos="810"/>
          <w:tab w:val="clear" w:pos="0"/>
        </w:tabs>
        <w:ind w:left="810" w:hanging="360"/>
        <w:jc w:val="both"/>
        <w:rPr>
          <w:position w:val="0"/>
          <w:rtl w:val="0"/>
        </w:rPr>
      </w:pPr>
      <w:r>
        <w:rPr>
          <w:rtl w:val="0"/>
          <w:lang w:val="en-US"/>
        </w:rPr>
        <w:t>Fundraising strategic document, based on an assessment of highest potential revenue streams</w:t>
      </w:r>
    </w:p>
    <w:p>
      <w:pPr>
        <w:pStyle w:val="Body"/>
        <w:jc w:val="both"/>
        <w:rPr>
          <w:rtl w:val="0"/>
        </w:rPr>
      </w:pPr>
    </w:p>
    <w:p>
      <w:pPr>
        <w:pStyle w:val="Body"/>
        <w:jc w:val="both"/>
        <w:rPr>
          <w:rtl w:val="0"/>
        </w:rPr>
      </w:pPr>
    </w:p>
    <w:p>
      <w:pPr>
        <w:pStyle w:val="Body"/>
        <w:jc w:val="both"/>
      </w:pPr>
      <w:r>
        <w:rPr>
          <w:shd w:val="clear" w:color="auto" w:fill="ffff00"/>
          <w:rtl w:val="0"/>
        </w:rPr>
        <w:br w:type="page"/>
      </w:r>
    </w:p>
    <w:p>
      <w:pPr>
        <w:pStyle w:val="Body"/>
        <w:jc w:val="both"/>
        <w:rPr>
          <w:shd w:val="clear" w:color="auto" w:fill="ffff00"/>
        </w:rPr>
      </w:pPr>
    </w:p>
    <w:p>
      <w:pPr>
        <w:pStyle w:val="Heading"/>
        <w:numPr>
          <w:ilvl w:val="0"/>
          <w:numId w:val="10"/>
        </w:numPr>
        <w:tabs>
          <w:tab w:val="num" w:pos="720"/>
          <w:tab w:val="clear" w:pos="0"/>
        </w:tabs>
        <w:ind w:left="432" w:firstLine="0"/>
        <w:rPr>
          <w:position w:val="0"/>
          <w:rtl w:val="0"/>
        </w:rPr>
      </w:pPr>
      <w:bookmarkStart w:name="_Toc1" w:id="1"/>
      <w:r>
        <w:rPr>
          <w:rtl w:val="0"/>
          <w:lang w:val="en-US"/>
        </w:rPr>
        <w:t>Background</w:t>
      </w:r>
      <w:bookmarkEnd w:id="1"/>
    </w:p>
    <w:p>
      <w:pPr>
        <w:pStyle w:val="Body"/>
        <w:jc w:val="both"/>
        <w:rPr>
          <w:rtl w:val="0"/>
        </w:rPr>
      </w:pPr>
    </w:p>
    <w:p>
      <w:pPr>
        <w:pStyle w:val="Body"/>
        <w:rPr>
          <w:rtl w:val="0"/>
        </w:rPr>
      </w:pPr>
      <w:r>
        <w:rPr>
          <w:rFonts w:ascii="Calibri" w:cs="Arial Unicode MS" w:hAnsi="Arial Unicode MS" w:eastAsia="Arial Unicode MS"/>
          <w:rtl w:val="0"/>
          <w:lang w:val="en-US"/>
        </w:rPr>
        <w:t>Established in 2009, Connected in Motion (CIM) is a health-based education group focused on fostering a community of people living with Type 1 diabetes. 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aim is to create a culture of support and engagement in diabetes self-management through peer-based experiential diabetes education and outdoor adventure pursuits.</w:t>
      </w:r>
    </w:p>
    <w:p>
      <w:pPr>
        <w:pStyle w:val="Body"/>
        <w:rPr>
          <w:rtl w:val="0"/>
        </w:rPr>
      </w:pPr>
      <w:r>
        <w:rPr>
          <w:rFonts w:ascii="Calibri" w:cs="Arial Unicode MS" w:hAnsi="Arial Unicode MS" w:eastAsia="Arial Unicode MS"/>
          <w:rtl w:val="0"/>
          <w:lang w:val="en-US"/>
        </w:rPr>
        <w:t>CIM primarily serves adults living with Type 1 diabetes as well as their support network, which includes friends, family members, and health care teams. CIM currently reaches more than 25,000 adults and actively engages more than 1,000 adults per year. From 2008 to 2014, CIM engaged more than 3,000 adults primarily between the ages of 18 and 34. In addition, CIM also serves health care teams directly by providing non-traditional complementary services.</w:t>
      </w:r>
    </w:p>
    <w:p>
      <w:pPr>
        <w:pStyle w:val="Body"/>
        <w:rPr>
          <w:rtl w:val="0"/>
        </w:rPr>
      </w:pPr>
      <w:r>
        <w:rPr>
          <w:rFonts w:ascii="Calibri" w:cs="Arial Unicode MS" w:hAnsi="Arial Unicode MS" w:eastAsia="Arial Unicode MS"/>
          <w:rtl w:val="0"/>
        </w:rPr>
        <w:t xml:space="preserve"> 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core experiential diabetes activities currently consists of:</w:t>
      </w:r>
    </w:p>
    <w:p>
      <w:pPr>
        <w:pStyle w:val="List Paragraph"/>
        <w:numPr>
          <w:ilvl w:val="0"/>
          <w:numId w:val="19"/>
        </w:numPr>
        <w:tabs>
          <w:tab w:val="num" w:pos="720"/>
          <w:tab w:val="clear" w:pos="0"/>
        </w:tabs>
        <w:ind w:left="720" w:hanging="360"/>
        <w:rPr>
          <w:position w:val="0"/>
          <w:sz w:val="22"/>
          <w:szCs w:val="22"/>
          <w:rtl w:val="0"/>
        </w:rPr>
      </w:pPr>
      <w:r>
        <w:rPr>
          <w:i w:val="1"/>
          <w:iCs w:val="1"/>
          <w:rtl w:val="0"/>
          <w:lang w:val="en-US"/>
        </w:rPr>
        <w:t>Day program:</w:t>
      </w:r>
      <w:r>
        <w:rPr>
          <w:rtl w:val="0"/>
          <w:lang w:val="en-US"/>
        </w:rPr>
        <w:t xml:space="preserve"> One-day events which provide opportunities for individuals with Type 1 diabetes to connect with the community through outdoor adventure and activities. This event is held around 20 times per year.</w:t>
      </w:r>
    </w:p>
    <w:p>
      <w:pPr>
        <w:pStyle w:val="List Paragraph"/>
        <w:numPr>
          <w:ilvl w:val="0"/>
          <w:numId w:val="20"/>
        </w:numPr>
        <w:tabs>
          <w:tab w:val="num" w:pos="720"/>
          <w:tab w:val="clear" w:pos="0"/>
        </w:tabs>
        <w:ind w:left="720" w:hanging="360"/>
        <w:rPr>
          <w:position w:val="0"/>
          <w:sz w:val="22"/>
          <w:szCs w:val="22"/>
          <w:rtl w:val="0"/>
        </w:rPr>
      </w:pPr>
      <w:r>
        <w:rPr>
          <w:i w:val="1"/>
          <w:iCs w:val="1"/>
          <w:rtl w:val="0"/>
          <w:lang w:val="en-US"/>
        </w:rPr>
        <w:t>Slipstream Weekends:</w:t>
      </w:r>
      <w:r>
        <w:rPr>
          <w:rtl w:val="0"/>
          <w:lang w:val="en-US"/>
        </w:rPr>
        <w:t xml:space="preserve">  Multi-day, experiential education programs to provide skill development and the opportunity to expand comfort zone in relation to outdoor adventure, active living and diabetes self-management. There are three slipstream weekends annually held across Ontario, British Columbia and Nova Scotia.</w:t>
      </w:r>
    </w:p>
    <w:p>
      <w:pPr>
        <w:pStyle w:val="List Paragraph"/>
        <w:numPr>
          <w:ilvl w:val="0"/>
          <w:numId w:val="21"/>
        </w:numPr>
        <w:tabs>
          <w:tab w:val="num" w:pos="720"/>
          <w:tab w:val="clear" w:pos="0"/>
        </w:tabs>
        <w:ind w:left="720" w:hanging="360"/>
        <w:rPr>
          <w:position w:val="0"/>
          <w:sz w:val="22"/>
          <w:szCs w:val="22"/>
          <w:rtl w:val="0"/>
        </w:rPr>
      </w:pPr>
      <w:r>
        <w:rPr>
          <w:i w:val="1"/>
          <w:iCs w:val="1"/>
          <w:rtl w:val="0"/>
          <w:lang w:val="en-US"/>
        </w:rPr>
        <w:t xml:space="preserve">Adventures: </w:t>
      </w:r>
      <w:r>
        <w:rPr>
          <w:rtl w:val="0"/>
          <w:lang w:val="en-US"/>
        </w:rPr>
        <w:t>Multi-day, outdoor-based activities which include canoe trips and backpacking series. These events are held around five times a year across Ontario, Alberta and British Columbia.</w:t>
      </w:r>
    </w:p>
    <w:p>
      <w:pPr>
        <w:pStyle w:val="List Paragraph"/>
        <w:numPr>
          <w:ilvl w:val="0"/>
          <w:numId w:val="22"/>
        </w:numPr>
        <w:tabs>
          <w:tab w:val="num" w:pos="720"/>
          <w:tab w:val="clear" w:pos="0"/>
        </w:tabs>
        <w:ind w:left="720" w:hanging="360"/>
        <w:rPr>
          <w:position w:val="0"/>
          <w:sz w:val="22"/>
          <w:szCs w:val="22"/>
          <w:rtl w:val="0"/>
        </w:rPr>
      </w:pPr>
      <w:r>
        <w:rPr>
          <w:i w:val="1"/>
          <w:iCs w:val="1"/>
          <w:rtl w:val="0"/>
          <w:lang w:val="en-US"/>
        </w:rPr>
        <w:t xml:space="preserve">Networking and Online Community: </w:t>
      </w:r>
      <w:r>
        <w:rPr>
          <w:rtl w:val="0"/>
          <w:lang w:val="en-US"/>
        </w:rPr>
        <w:t>CIM fosters networking among adults with Type 1 diabetes through day networking events and a connected online community.</w:t>
      </w:r>
    </w:p>
    <w:p>
      <w:pPr>
        <w:pStyle w:val="Body"/>
        <w:rPr>
          <w:rtl w:val="0"/>
        </w:rPr>
      </w:pPr>
      <w:r>
        <w:rPr>
          <w:rFonts w:ascii="Calibri" w:cs="Arial Unicode MS" w:hAnsi="Arial Unicode MS" w:eastAsia="Arial Unicode MS"/>
          <w:rtl w:val="0"/>
        </w:rPr>
        <w:t>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long-term vision is to grow the size of the organization by expanding this core programming geographically across Canada in six specific regions: Ontario, Quebec, Maritimes, West Coast, Midwest/Prairies, and Northern Canada; and in the United States.</w:t>
      </w:r>
    </w:p>
    <w:p>
      <w:pPr>
        <w:pStyle w:val="Body"/>
        <w:rPr>
          <w:rtl w:val="0"/>
        </w:rPr>
      </w:pPr>
      <w:r>
        <w:rPr>
          <w:rFonts w:ascii="Calibri" w:cs="Arial Unicode MS" w:hAnsi="Arial Unicode MS" w:eastAsia="Arial Unicode MS"/>
          <w:rtl w:val="0"/>
          <w:lang w:val="en-US"/>
        </w:rPr>
        <w:t>CIM currently has one full time staff (executive director), one part time staff (program coordinator), and three board members. 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governance board is responsible for the organization</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 xml:space="preserve">s high-level decision-making and has legal authority over CIM. The board consists of a chair, treasurer, and director. In addition to governance, the board also assists with administrative and accounting functions. </w:t>
      </w:r>
    </w:p>
    <w:p>
      <w:pPr>
        <w:pStyle w:val="Body"/>
        <w:rPr>
          <w:rtl w:val="0"/>
        </w:rPr>
      </w:pPr>
      <w:r>
        <w:rPr>
          <w:rFonts w:ascii="Calibri" w:cs="Arial Unicode MS" w:hAnsi="Arial Unicode MS" w:eastAsia="Arial Unicode MS"/>
          <w:rtl w:val="0"/>
        </w:rPr>
        <w:t>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revenues consist primarily of corporate contributions from diabetes-space sponsors, and event registration fees. CIM</w:t>
      </w:r>
      <w:r>
        <w:rPr>
          <w:rFonts w:ascii="Arial Unicode MS" w:cs="Arial Unicode MS" w:hAnsi="Calibri" w:eastAsia="Arial Unicode MS" w:hint="default"/>
          <w:rtl w:val="0"/>
          <w:lang w:val="fr-FR"/>
        </w:rPr>
        <w:t>’</w:t>
      </w:r>
      <w:r>
        <w:rPr>
          <w:rFonts w:ascii="Calibri" w:cs="Arial Unicode MS" w:hAnsi="Arial Unicode MS" w:eastAsia="Arial Unicode MS"/>
          <w:rtl w:val="0"/>
          <w:lang w:val="en-US"/>
        </w:rPr>
        <w:t>s multi-day events</w:t>
      </w:r>
      <w:r>
        <w:rPr>
          <w:rFonts w:ascii="Arial Unicode MS" w:cs="Arial Unicode MS" w:hAnsi="Calibri" w:eastAsia="Arial Unicode MS" w:hint="default"/>
          <w:rtl w:val="0"/>
          <w:lang w:val="fr-FR"/>
        </w:rPr>
        <w:t xml:space="preserve">’ </w:t>
      </w:r>
      <w:r>
        <w:rPr>
          <w:rFonts w:ascii="Calibri" w:cs="Arial Unicode MS" w:hAnsi="Arial Unicode MS" w:eastAsia="Arial Unicode MS"/>
          <w:rtl w:val="0"/>
          <w:lang w:val="en-US"/>
        </w:rPr>
        <w:t>costs are primarily covered through these registration fees while corporate sponsorships cover most event management and other overhead costs.</w:t>
      </w:r>
    </w:p>
    <w:p>
      <w:pPr>
        <w:pStyle w:val="Body"/>
      </w:pPr>
      <w:r>
        <w:rPr>
          <w:rtl w:val="0"/>
        </w:rPr>
        <w:br w:type="page"/>
      </w:r>
    </w:p>
    <w:p>
      <w:pPr>
        <w:pStyle w:val="Body"/>
        <w:rPr>
          <w:rFonts w:ascii="Cambria" w:cs="Cambria" w:hAnsi="Cambria" w:eastAsia="Cambria"/>
          <w:b w:val="1"/>
          <w:bCs w:val="1"/>
          <w:color w:val="365f91"/>
          <w:sz w:val="28"/>
          <w:szCs w:val="28"/>
          <w:u w:color="000000"/>
        </w:rPr>
      </w:pPr>
    </w:p>
    <w:p>
      <w:pPr>
        <w:pStyle w:val="Heading"/>
        <w:numPr>
          <w:ilvl w:val="0"/>
          <w:numId w:val="10"/>
        </w:numPr>
        <w:tabs>
          <w:tab w:val="num" w:pos="720"/>
          <w:tab w:val="clear" w:pos="0"/>
        </w:tabs>
        <w:ind w:left="432" w:firstLine="0"/>
        <w:rPr>
          <w:position w:val="0"/>
          <w:rtl w:val="0"/>
        </w:rPr>
      </w:pPr>
      <w:bookmarkStart w:name="_Toc2" w:id="2"/>
      <w:r>
        <w:rPr>
          <w:rtl w:val="0"/>
        </w:rPr>
        <w:t>Problem Definition</w:t>
      </w:r>
      <w:bookmarkEnd w:id="2"/>
    </w:p>
    <w:p>
      <w:pPr>
        <w:pStyle w:val="Body"/>
        <w:rPr>
          <w:rtl w:val="0"/>
        </w:rPr>
      </w:pPr>
    </w:p>
    <w:p>
      <w:pPr>
        <w:pStyle w:val="Body"/>
        <w:jc w:val="both"/>
        <w:rPr>
          <w:rtl w:val="0"/>
        </w:rPr>
      </w:pPr>
      <w:r>
        <w:rPr>
          <w:rtl w:val="0"/>
          <w:lang w:val="en-US"/>
        </w:rPr>
        <w:t>We understand that after six years of successful operation primarily in the GTA, CIM has adopted a clear long-term vision of continued growth, to be achieved through expansion of their current program offerings geographically across Canada, and also continued market penetration within existing regions.</w:t>
      </w:r>
    </w:p>
    <w:p>
      <w:pPr>
        <w:pStyle w:val="Body"/>
        <w:jc w:val="both"/>
        <w:rPr>
          <w:rtl w:val="0"/>
        </w:rPr>
      </w:pPr>
      <w:r>
        <w:rPr>
          <w:rtl w:val="0"/>
          <w:lang w:val="en-US"/>
        </w:rPr>
        <w:t xml:space="preserve">However, in order to achieve this long-term vision of growth, CIM faces critical challenges related to strategic and business planning, particularly with regards to fundraising. Specifically, CIM believes that it has maximized or </w:t>
      </w:r>
      <w:r>
        <w:rPr>
          <w:rFonts w:hAnsi="Calibri" w:hint="default"/>
          <w:rtl w:val="0"/>
        </w:rPr>
        <w:t>“</w:t>
      </w:r>
      <w:r>
        <w:rPr>
          <w:rtl w:val="0"/>
          <w:lang w:val="en-US"/>
        </w:rPr>
        <w:t>tapped out</w:t>
      </w:r>
      <w:r>
        <w:rPr>
          <w:rFonts w:hAnsi="Calibri" w:hint="default"/>
          <w:rtl w:val="0"/>
        </w:rPr>
        <w:t xml:space="preserve">” </w:t>
      </w:r>
      <w:r>
        <w:rPr>
          <w:rtl w:val="0"/>
          <w:lang w:val="en-US"/>
        </w:rPr>
        <w:t>revenue derived from unreliable corporate sponsorships in the diabetes space, and that it must pursue other revenue sources, such as corporate sponsorships in the non-diabetes space, in order to ensure that their future growth is sustainable. CIM has limited resources and experience reaching into these new potential revenue streams.</w:t>
      </w:r>
    </w:p>
    <w:p>
      <w:pPr>
        <w:pStyle w:val="Body"/>
        <w:jc w:val="both"/>
        <w:rPr>
          <w:rtl w:val="0"/>
        </w:rPr>
      </w:pPr>
      <w:r>
        <w:rPr>
          <w:rtl w:val="0"/>
          <w:lang w:val="en-US"/>
        </w:rPr>
        <w:t xml:space="preserve"> In summary, to address CIM</w:t>
      </w:r>
      <w:r>
        <w:rPr>
          <w:rFonts w:hAnsi="Calibri" w:hint="default"/>
          <w:rtl w:val="0"/>
          <w:lang w:val="fr-FR"/>
        </w:rPr>
        <w:t>’</w:t>
      </w:r>
      <w:r>
        <w:rPr>
          <w:rtl w:val="0"/>
          <w:lang w:val="en-US"/>
        </w:rPr>
        <w:t>s challenges with respect to their long-term vision of growth, we have identified the following key factors to be addressed as part of this engagement:</w:t>
      </w:r>
    </w:p>
    <w:p>
      <w:pPr>
        <w:pStyle w:val="List Paragraph"/>
        <w:numPr>
          <w:ilvl w:val="0"/>
          <w:numId w:val="25"/>
        </w:numPr>
        <w:tabs>
          <w:tab w:val="num" w:pos="720"/>
          <w:tab w:val="clear" w:pos="0"/>
        </w:tabs>
        <w:ind w:left="720" w:hanging="360"/>
        <w:jc w:val="both"/>
        <w:rPr>
          <w:position w:val="0"/>
          <w:rtl w:val="0"/>
        </w:rPr>
      </w:pPr>
      <w:r>
        <w:rPr>
          <w:rtl w:val="0"/>
          <w:lang w:val="en-US"/>
        </w:rPr>
        <w:t>The need for a strategic plan that supports CIM</w:t>
      </w:r>
      <w:r>
        <w:rPr>
          <w:rFonts w:hAnsi="Calibri" w:hint="default"/>
          <w:rtl w:val="0"/>
          <w:lang w:val="en-US"/>
        </w:rPr>
        <w:t>’</w:t>
      </w:r>
      <w:r>
        <w:rPr>
          <w:rtl w:val="0"/>
          <w:lang w:val="en-US"/>
        </w:rPr>
        <w:t>s stated long-term vision of growth</w:t>
      </w:r>
    </w:p>
    <w:p>
      <w:pPr>
        <w:pStyle w:val="List Paragraph"/>
        <w:numPr>
          <w:ilvl w:val="1"/>
          <w:numId w:val="27"/>
        </w:numPr>
        <w:tabs>
          <w:tab w:val="num" w:pos="1440"/>
          <w:tab w:val="clear" w:pos="0"/>
        </w:tabs>
        <w:ind w:left="1440" w:hanging="360"/>
        <w:jc w:val="both"/>
        <w:rPr>
          <w:position w:val="0"/>
          <w:rtl w:val="0"/>
        </w:rPr>
      </w:pPr>
      <w:r>
        <w:rPr>
          <w:rtl w:val="0"/>
          <w:lang w:val="en-US"/>
        </w:rPr>
        <w:t>Articulation of strategic messaging for approaching sponsors</w:t>
      </w:r>
    </w:p>
    <w:p>
      <w:pPr>
        <w:pStyle w:val="List Paragraph"/>
        <w:numPr>
          <w:ilvl w:val="1"/>
          <w:numId w:val="27"/>
        </w:numPr>
        <w:tabs>
          <w:tab w:val="num" w:pos="1440"/>
          <w:tab w:val="clear" w:pos="0"/>
        </w:tabs>
        <w:ind w:left="1440" w:hanging="360"/>
        <w:jc w:val="both"/>
        <w:rPr>
          <w:position w:val="0"/>
          <w:rtl w:val="0"/>
        </w:rPr>
      </w:pPr>
      <w:r>
        <w:rPr>
          <w:rtl w:val="0"/>
          <w:lang w:val="en-US"/>
        </w:rPr>
        <w:t xml:space="preserve">Identification of goals and targets with respect to fundraising </w:t>
      </w:r>
    </w:p>
    <w:p>
      <w:pPr>
        <w:pStyle w:val="List Paragraph"/>
        <w:numPr>
          <w:ilvl w:val="0"/>
          <w:numId w:val="25"/>
        </w:numPr>
        <w:tabs>
          <w:tab w:val="num" w:pos="720"/>
          <w:tab w:val="clear" w:pos="0"/>
        </w:tabs>
        <w:ind w:left="720" w:hanging="360"/>
        <w:jc w:val="both"/>
        <w:rPr>
          <w:position w:val="0"/>
          <w:rtl w:val="0"/>
        </w:rPr>
      </w:pPr>
      <w:r>
        <w:rPr>
          <w:rtl w:val="0"/>
          <w:lang w:val="en-US"/>
        </w:rPr>
        <w:t>The need to evaluate the landscape of current and potential revenue sources</w:t>
      </w:r>
    </w:p>
    <w:p>
      <w:pPr>
        <w:pStyle w:val="List Paragraph"/>
        <w:numPr>
          <w:ilvl w:val="1"/>
          <w:numId w:val="28"/>
        </w:numPr>
        <w:tabs>
          <w:tab w:val="num" w:pos="1440"/>
          <w:tab w:val="clear" w:pos="0"/>
        </w:tabs>
        <w:ind w:left="1440" w:hanging="360"/>
        <w:jc w:val="both"/>
        <w:rPr>
          <w:position w:val="0"/>
          <w:rtl w:val="0"/>
        </w:rPr>
      </w:pPr>
      <w:r>
        <w:rPr>
          <w:rtl w:val="0"/>
          <w:lang w:val="en-US"/>
        </w:rPr>
        <w:t>Evaluation of current revenue sources to confirm that they have been maximized</w:t>
      </w:r>
    </w:p>
    <w:p>
      <w:pPr>
        <w:pStyle w:val="List Paragraph"/>
        <w:numPr>
          <w:ilvl w:val="1"/>
          <w:numId w:val="28"/>
        </w:numPr>
        <w:tabs>
          <w:tab w:val="num" w:pos="1440"/>
          <w:tab w:val="clear" w:pos="0"/>
        </w:tabs>
        <w:ind w:left="1440" w:hanging="360"/>
        <w:jc w:val="both"/>
        <w:rPr>
          <w:position w:val="0"/>
          <w:rtl w:val="0"/>
        </w:rPr>
      </w:pPr>
      <w:r>
        <w:rPr>
          <w:rtl w:val="0"/>
          <w:lang w:val="en-US"/>
        </w:rPr>
        <w:t>Evaluation of potential revenue sources, to determine which sources are the best targets for CIM to approach</w:t>
      </w:r>
    </w:p>
    <w:p>
      <w:pPr>
        <w:pStyle w:val="List Paragraph"/>
        <w:numPr>
          <w:ilvl w:val="0"/>
          <w:numId w:val="25"/>
        </w:numPr>
        <w:tabs>
          <w:tab w:val="num" w:pos="720"/>
          <w:tab w:val="clear" w:pos="0"/>
        </w:tabs>
        <w:ind w:left="720" w:hanging="360"/>
        <w:jc w:val="both"/>
        <w:rPr>
          <w:position w:val="0"/>
          <w:rtl w:val="0"/>
        </w:rPr>
      </w:pPr>
      <w:r>
        <w:rPr>
          <w:rtl w:val="0"/>
          <w:lang w:val="en-US"/>
        </w:rPr>
        <w:t>The need to develop a fundraising strategy that aligns with CIM</w:t>
      </w:r>
      <w:r>
        <w:rPr>
          <w:rFonts w:hAnsi="Calibri" w:hint="default"/>
          <w:rtl w:val="0"/>
          <w:lang w:val="en-US"/>
        </w:rPr>
        <w:t>’</w:t>
      </w:r>
      <w:r>
        <w:rPr>
          <w:rtl w:val="0"/>
          <w:lang w:val="en-US"/>
        </w:rPr>
        <w:t>s strategic plan</w:t>
      </w:r>
    </w:p>
    <w:p>
      <w:pPr>
        <w:pStyle w:val="List Paragraph"/>
        <w:numPr>
          <w:ilvl w:val="1"/>
          <w:numId w:val="29"/>
        </w:numPr>
        <w:tabs>
          <w:tab w:val="num" w:pos="1440"/>
          <w:tab w:val="clear" w:pos="0"/>
        </w:tabs>
        <w:ind w:left="1440" w:hanging="360"/>
        <w:jc w:val="both"/>
        <w:rPr>
          <w:position w:val="0"/>
          <w:rtl w:val="0"/>
        </w:rPr>
      </w:pPr>
      <w:r>
        <w:rPr>
          <w:rtl w:val="0"/>
          <w:lang w:val="en-US"/>
        </w:rPr>
        <w:t>Development of messaging for approaching sponsors who are in non-Diabetes spaces</w:t>
      </w:r>
    </w:p>
    <w:p>
      <w:pPr>
        <w:pStyle w:val="Body"/>
        <w:jc w:val="both"/>
        <w:rPr>
          <w:rtl w:val="0"/>
        </w:rPr>
      </w:pPr>
    </w:p>
    <w:p>
      <w:pPr>
        <w:pStyle w:val="Body"/>
        <w:jc w:val="both"/>
        <w:rPr>
          <w:rtl w:val="0"/>
        </w:rPr>
      </w:pPr>
    </w:p>
    <w:p>
      <w:pPr>
        <w:pStyle w:val="Body"/>
      </w:pPr>
      <w:r>
        <w:rPr>
          <w:rtl w:val="0"/>
        </w:rPr>
        <w:br w:type="page"/>
      </w:r>
    </w:p>
    <w:p>
      <w:pPr>
        <w:pStyle w:val="Body"/>
        <w:rPr>
          <w:rFonts w:ascii="Cambria" w:cs="Cambria" w:hAnsi="Cambria" w:eastAsia="Cambria"/>
          <w:b w:val="1"/>
          <w:bCs w:val="1"/>
          <w:color w:val="365f91"/>
          <w:sz w:val="28"/>
          <w:szCs w:val="28"/>
          <w:u w:color="000000"/>
        </w:rPr>
      </w:pPr>
    </w:p>
    <w:p>
      <w:pPr>
        <w:pStyle w:val="Heading"/>
        <w:numPr>
          <w:ilvl w:val="0"/>
          <w:numId w:val="10"/>
        </w:numPr>
        <w:tabs>
          <w:tab w:val="num" w:pos="720"/>
          <w:tab w:val="clear" w:pos="0"/>
        </w:tabs>
        <w:ind w:left="432" w:firstLine="0"/>
        <w:rPr>
          <w:position w:val="0"/>
          <w:rtl w:val="0"/>
        </w:rPr>
      </w:pPr>
      <w:bookmarkStart w:name="_Toc3" w:id="3"/>
      <w:r>
        <w:rPr>
          <w:rtl w:val="0"/>
          <w:lang w:val="en-US"/>
        </w:rPr>
        <w:t>Project Objectives</w:t>
      </w:r>
      <w:bookmarkEnd w:id="3"/>
    </w:p>
    <w:p>
      <w:pPr>
        <w:pStyle w:val="Body"/>
        <w:rPr>
          <w:rtl w:val="0"/>
        </w:rPr>
      </w:pPr>
    </w:p>
    <w:p>
      <w:pPr>
        <w:pStyle w:val="Body"/>
        <w:rPr>
          <w:rtl w:val="0"/>
        </w:rPr>
      </w:pPr>
      <w:r>
        <w:rPr>
          <w:rFonts w:ascii="Calibri" w:cs="Arial Unicode MS" w:hAnsi="Arial Unicode MS" w:eastAsia="Arial Unicode MS"/>
          <w:rtl w:val="0"/>
          <w:lang w:val="en-US"/>
        </w:rPr>
        <w:t xml:space="preserve">The principal project objectives established at the outset (in order of priority) are: </w:t>
      </w:r>
    </w:p>
    <w:p>
      <w:pPr>
        <w:pStyle w:val="List Paragraph"/>
        <w:numPr>
          <w:ilvl w:val="0"/>
          <w:numId w:val="32"/>
        </w:numPr>
        <w:tabs>
          <w:tab w:val="num" w:pos="769"/>
          <w:tab w:val="clear" w:pos="0"/>
        </w:tabs>
        <w:ind w:left="769" w:hanging="447"/>
        <w:rPr>
          <w:position w:val="0"/>
          <w:rtl w:val="0"/>
        </w:rPr>
      </w:pPr>
      <w:r>
        <w:rPr>
          <w:rtl w:val="0"/>
          <w:lang w:val="en-US"/>
        </w:rPr>
        <w:t>To develop a 5-year strategic plan for CIM based on the client</w:t>
      </w:r>
      <w:r>
        <w:rPr>
          <w:rFonts w:hAnsi="Calibri" w:hint="default"/>
          <w:rtl w:val="0"/>
          <w:lang w:val="en-US"/>
        </w:rPr>
        <w:t>’</w:t>
      </w:r>
      <w:r>
        <w:rPr>
          <w:rtl w:val="0"/>
          <w:lang w:val="en-US"/>
        </w:rPr>
        <w:t xml:space="preserve">s vision for future growth; </w:t>
      </w:r>
    </w:p>
    <w:p>
      <w:pPr>
        <w:pStyle w:val="List Paragraph"/>
        <w:numPr>
          <w:ilvl w:val="0"/>
          <w:numId w:val="32"/>
        </w:numPr>
        <w:tabs>
          <w:tab w:val="num" w:pos="769"/>
          <w:tab w:val="clear" w:pos="0"/>
        </w:tabs>
        <w:ind w:left="769" w:hanging="447"/>
        <w:rPr>
          <w:position w:val="0"/>
          <w:rtl w:val="0"/>
        </w:rPr>
      </w:pPr>
      <w:r>
        <w:rPr>
          <w:rtl w:val="0"/>
          <w:lang w:val="en-US"/>
        </w:rPr>
        <w:t>To evaluate available revenue streams with the intention of identifying the opportunities with the most potential;</w:t>
      </w:r>
    </w:p>
    <w:p>
      <w:pPr>
        <w:pStyle w:val="List Paragraph"/>
        <w:numPr>
          <w:ilvl w:val="0"/>
          <w:numId w:val="32"/>
        </w:numPr>
        <w:tabs>
          <w:tab w:val="num" w:pos="769"/>
          <w:tab w:val="clear" w:pos="0"/>
        </w:tabs>
        <w:ind w:left="769" w:hanging="447"/>
        <w:rPr>
          <w:position w:val="0"/>
          <w:rtl w:val="0"/>
        </w:rPr>
      </w:pPr>
      <w:r>
        <w:rPr>
          <w:rtl w:val="0"/>
          <w:lang w:val="en-US"/>
        </w:rPr>
        <w:t>To devise a marketing strategy for the identified high-potential revenue opportunities; and,</w:t>
      </w:r>
    </w:p>
    <w:p>
      <w:pPr>
        <w:pStyle w:val="List Paragraph"/>
        <w:numPr>
          <w:ilvl w:val="0"/>
          <w:numId w:val="32"/>
        </w:numPr>
        <w:tabs>
          <w:tab w:val="num" w:pos="769"/>
          <w:tab w:val="clear" w:pos="0"/>
        </w:tabs>
        <w:ind w:left="769" w:hanging="447"/>
        <w:rPr>
          <w:position w:val="0"/>
          <w:rtl w:val="0"/>
        </w:rPr>
      </w:pPr>
      <w:r>
        <w:rPr>
          <w:rtl w:val="0"/>
          <w:lang w:val="en-US"/>
        </w:rPr>
        <w:t>To provide tactical advice on implementing the above.</w:t>
      </w:r>
    </w:p>
    <w:p>
      <w:pPr>
        <w:pStyle w:val="Body"/>
        <w:rPr>
          <w:rtl w:val="0"/>
        </w:rPr>
      </w:pPr>
      <w:r>
        <w:rPr>
          <w:rFonts w:ascii="Calibri" w:cs="Arial Unicode MS" w:hAnsi="Arial Unicode MS" w:eastAsia="Arial Unicode MS"/>
          <w:rtl w:val="0"/>
          <w:lang w:val="en-US"/>
        </w:rPr>
        <w:t>In meeting these objectives, the Endeavour consulting team will work in collaboration with CIM to evaluate the following items:</w:t>
      </w:r>
    </w:p>
    <w:p>
      <w:pPr>
        <w:pStyle w:val="List Paragraph"/>
        <w:numPr>
          <w:ilvl w:val="0"/>
          <w:numId w:val="35"/>
        </w:numPr>
        <w:tabs>
          <w:tab w:val="num" w:pos="720"/>
          <w:tab w:val="clear" w:pos="0"/>
        </w:tabs>
        <w:bidi w:val="0"/>
        <w:ind w:left="720" w:right="0" w:hanging="360"/>
        <w:jc w:val="left"/>
        <w:rPr>
          <w:b w:val="1"/>
          <w:bCs w:val="1"/>
          <w:position w:val="0"/>
          <w:rtl w:val="0"/>
        </w:rPr>
      </w:pPr>
      <w:r>
        <w:rPr>
          <w:rFonts w:ascii="Calibri"/>
          <w:b w:val="1"/>
          <w:bCs w:val="1"/>
          <w:rtl w:val="0"/>
          <w:lang w:val="en-US"/>
        </w:rPr>
        <w:t xml:space="preserve">Overall Strategy: </w:t>
      </w:r>
      <w:r>
        <w:rPr>
          <w:rFonts w:ascii="Calibri"/>
          <w:b w:val="0"/>
          <w:bCs w:val="0"/>
          <w:rtl w:val="0"/>
          <w:lang w:val="en-US"/>
        </w:rPr>
        <w:t>Develop and define priorities around CIM</w:t>
      </w:r>
      <w:r>
        <w:rPr>
          <w:rFonts w:hAnsi="Calibri" w:hint="default"/>
          <w:b w:val="0"/>
          <w:bCs w:val="0"/>
          <w:rtl w:val="0"/>
          <w:lang w:val="en-US"/>
        </w:rPr>
        <w:t>’</w:t>
      </w:r>
      <w:r>
        <w:rPr>
          <w:rFonts w:ascii="Calibri"/>
          <w:b w:val="0"/>
          <w:bCs w:val="0"/>
          <w:rtl w:val="0"/>
          <w:lang w:val="en-US"/>
        </w:rPr>
        <w:t>s growth strategy as it pertains to expansion to new markets (e.g. Western Canada) and within incumbent markets (i.e. Toronto). Track expansion milestones and identify underlying assumptions.</w:t>
      </w:r>
    </w:p>
    <w:p>
      <w:pPr>
        <w:pStyle w:val="List Paragraph"/>
        <w:numPr>
          <w:ilvl w:val="0"/>
          <w:numId w:val="35"/>
        </w:numPr>
        <w:tabs>
          <w:tab w:val="num" w:pos="720"/>
          <w:tab w:val="clear" w:pos="0"/>
        </w:tabs>
        <w:bidi w:val="0"/>
        <w:ind w:left="720" w:right="0" w:hanging="360"/>
        <w:jc w:val="left"/>
        <w:rPr>
          <w:b w:val="1"/>
          <w:bCs w:val="1"/>
          <w:position w:val="0"/>
          <w:rtl w:val="0"/>
        </w:rPr>
      </w:pPr>
      <w:r>
        <w:rPr>
          <w:rFonts w:ascii="Calibri"/>
          <w:b w:val="1"/>
          <w:bCs w:val="1"/>
          <w:rtl w:val="0"/>
          <w:lang w:val="en-US"/>
        </w:rPr>
        <w:t>Revenue Stream Assessment</w:t>
      </w:r>
    </w:p>
    <w:p>
      <w:pPr>
        <w:pStyle w:val="List Paragraph"/>
        <w:numPr>
          <w:ilvl w:val="1"/>
          <w:numId w:val="38"/>
        </w:numPr>
        <w:tabs>
          <w:tab w:val="num" w:pos="1440"/>
          <w:tab w:val="clear" w:pos="0"/>
        </w:tabs>
        <w:bidi w:val="0"/>
        <w:ind w:left="1440" w:right="0" w:hanging="453"/>
        <w:jc w:val="left"/>
        <w:rPr>
          <w:b w:val="1"/>
          <w:bCs w:val="1"/>
          <w:position w:val="0"/>
          <w:rtl w:val="0"/>
        </w:rPr>
      </w:pPr>
      <w:r>
        <w:rPr>
          <w:rFonts w:ascii="Calibri"/>
          <w:b w:val="1"/>
          <w:bCs w:val="1"/>
          <w:rtl w:val="0"/>
          <w:lang w:val="en-US"/>
        </w:rPr>
        <w:t xml:space="preserve">Sponsorships/Donations: </w:t>
      </w:r>
      <w:r>
        <w:rPr>
          <w:rFonts w:ascii="Calibri"/>
          <w:b w:val="0"/>
          <w:bCs w:val="0"/>
          <w:rtl w:val="0"/>
          <w:lang w:val="en-US"/>
        </w:rPr>
        <w:t xml:space="preserve">Explore the sponsorship landscape with the intent to define most promising sponsorship opportunities. Currently the Consulting team has identified the following sponsorship avenues: diabetes space corporate sponsors, non-diabetes space corporate sponsors, personal donors, government funding, and foundations. </w:t>
      </w:r>
    </w:p>
    <w:p>
      <w:pPr>
        <w:pStyle w:val="List Paragraph"/>
        <w:numPr>
          <w:ilvl w:val="1"/>
          <w:numId w:val="38"/>
        </w:numPr>
        <w:tabs>
          <w:tab w:val="num" w:pos="1440"/>
          <w:tab w:val="clear" w:pos="0"/>
        </w:tabs>
        <w:bidi w:val="0"/>
        <w:ind w:left="1440" w:right="0" w:hanging="453"/>
        <w:jc w:val="left"/>
        <w:rPr>
          <w:b w:val="1"/>
          <w:bCs w:val="1"/>
          <w:position w:val="0"/>
          <w:rtl w:val="0"/>
        </w:rPr>
      </w:pPr>
      <w:r>
        <w:rPr>
          <w:rFonts w:ascii="Calibri"/>
          <w:b w:val="1"/>
          <w:bCs w:val="1"/>
          <w:rtl w:val="0"/>
          <w:lang w:val="en-US"/>
        </w:rPr>
        <w:t xml:space="preserve">Earned Revenue: </w:t>
      </w:r>
      <w:r>
        <w:rPr>
          <w:rFonts w:ascii="Calibri"/>
          <w:b w:val="0"/>
          <w:bCs w:val="0"/>
          <w:rtl w:val="0"/>
          <w:lang w:val="en-US"/>
        </w:rPr>
        <w:t>Assess the potential of other possible revenue streams, such as building out a full-fledged membership model and selling membership data.</w:t>
      </w:r>
    </w:p>
    <w:p>
      <w:pPr>
        <w:pStyle w:val="List Paragraph"/>
        <w:numPr>
          <w:ilvl w:val="0"/>
          <w:numId w:val="35"/>
        </w:numPr>
        <w:tabs>
          <w:tab w:val="num" w:pos="720"/>
          <w:tab w:val="clear" w:pos="0"/>
        </w:tabs>
        <w:ind w:left="720" w:hanging="360"/>
        <w:rPr>
          <w:position w:val="0"/>
          <w:rtl w:val="0"/>
        </w:rPr>
      </w:pPr>
      <w:r>
        <w:rPr>
          <w:b w:val="1"/>
          <w:bCs w:val="1"/>
          <w:rtl w:val="0"/>
          <w:lang w:val="en-US"/>
        </w:rPr>
        <w:t>Marketing Strategy:</w:t>
      </w:r>
      <w:r>
        <w:rPr>
          <w:rtl w:val="0"/>
          <w:lang w:val="en-US"/>
        </w:rPr>
        <w:t xml:space="preserve"> Inform the marketing strategy based on the above. Provide guidance on messaging and marketing channels.</w:t>
      </w:r>
    </w:p>
    <w:p>
      <w:pPr>
        <w:pStyle w:val="List Paragraph"/>
        <w:numPr>
          <w:ilvl w:val="0"/>
          <w:numId w:val="35"/>
        </w:numPr>
        <w:tabs>
          <w:tab w:val="num" w:pos="720"/>
          <w:tab w:val="clear" w:pos="0"/>
        </w:tabs>
        <w:ind w:left="720" w:hanging="360"/>
        <w:rPr>
          <w:position w:val="0"/>
          <w:rtl w:val="0"/>
        </w:rPr>
      </w:pPr>
      <w:r>
        <w:rPr>
          <w:b w:val="1"/>
          <w:bCs w:val="1"/>
          <w:rtl w:val="0"/>
          <w:lang w:val="en-US"/>
        </w:rPr>
        <w:t>Implementation Plan:</w:t>
      </w:r>
      <w:r>
        <w:rPr>
          <w:rtl w:val="0"/>
          <w:lang w:val="en-US"/>
        </w:rPr>
        <w:t xml:space="preserve"> Develop tactics that would facilitate implementation of the strategic plan. Provide guidance on strategic messaging as it relates to sponsorships. Provide a set of metrics that will help track and evaluate project success. </w:t>
      </w:r>
    </w:p>
    <w:p>
      <w:pPr>
        <w:pStyle w:val="Body"/>
      </w:pPr>
      <w:r>
        <w:rPr>
          <w:shd w:val="clear" w:color="auto" w:fill="ffff00"/>
          <w:rtl w:val="0"/>
        </w:rPr>
        <w:br w:type="page"/>
      </w:r>
    </w:p>
    <w:p>
      <w:pPr>
        <w:pStyle w:val="Body"/>
        <w:rPr>
          <w:rFonts w:ascii="Cambria" w:cs="Cambria" w:hAnsi="Cambria" w:eastAsia="Cambria"/>
          <w:b w:val="1"/>
          <w:bCs w:val="1"/>
          <w:color w:val="365f91"/>
          <w:sz w:val="28"/>
          <w:szCs w:val="28"/>
          <w:u w:color="000000"/>
          <w:shd w:val="clear" w:color="auto" w:fill="ffff00"/>
        </w:rPr>
      </w:pPr>
    </w:p>
    <w:p>
      <w:pPr>
        <w:pStyle w:val="Heading"/>
        <w:numPr>
          <w:ilvl w:val="0"/>
          <w:numId w:val="10"/>
        </w:numPr>
        <w:tabs>
          <w:tab w:val="num" w:pos="720"/>
          <w:tab w:val="clear" w:pos="0"/>
        </w:tabs>
        <w:ind w:left="432" w:firstLine="0"/>
        <w:rPr>
          <w:position w:val="0"/>
          <w:rtl w:val="0"/>
        </w:rPr>
      </w:pPr>
      <w:bookmarkStart w:name="_Toc4" w:id="4"/>
      <w:r>
        <w:rPr>
          <w:rtl w:val="0"/>
          <w:lang w:val="en-US"/>
        </w:rPr>
        <w:t>Project Sponsors</w:t>
      </w:r>
      <w:bookmarkEnd w:id="4"/>
    </w:p>
    <w:p>
      <w:pPr>
        <w:pStyle w:val="Body"/>
        <w:jc w:val="both"/>
        <w:rPr>
          <w:rtl w:val="0"/>
        </w:rPr>
      </w:pPr>
    </w:p>
    <w:p>
      <w:pPr>
        <w:pStyle w:val="Body"/>
        <w:jc w:val="both"/>
        <w:rPr>
          <w:rtl w:val="0"/>
        </w:rPr>
      </w:pPr>
      <w:r>
        <w:rPr>
          <w:rtl w:val="0"/>
          <w:lang w:val="en-US"/>
        </w:rPr>
        <w:t>The Project Sponsors for this engagement will be:</w:t>
      </w:r>
    </w:p>
    <w:p>
      <w:pPr>
        <w:pStyle w:val="List Paragraph"/>
        <w:numPr>
          <w:ilvl w:val="3"/>
          <w:numId w:val="41"/>
        </w:numPr>
        <w:tabs>
          <w:tab w:val="num" w:pos="810"/>
          <w:tab w:val="clear" w:pos="0"/>
        </w:tabs>
        <w:ind w:left="810" w:hanging="450"/>
        <w:jc w:val="both"/>
        <w:rPr>
          <w:position w:val="0"/>
          <w:rtl w:val="0"/>
        </w:rPr>
      </w:pPr>
      <w:r>
        <w:rPr>
          <w:rtl w:val="0"/>
          <w:lang w:val="en-US"/>
        </w:rPr>
        <w:t>Current CIM leadership: Jen Hanson, Rkin, OCT, MEd (Executive Director)</w:t>
      </w:r>
    </w:p>
    <w:p>
      <w:pPr>
        <w:pStyle w:val="Body"/>
        <w:ind w:left="810" w:firstLine="0"/>
        <w:jc w:val="both"/>
        <w:rPr>
          <w:rtl w:val="0"/>
        </w:rPr>
      </w:pPr>
      <w:r>
        <w:rPr>
          <w:rtl w:val="0"/>
          <w:lang w:val="en-US"/>
        </w:rPr>
        <w:t>Jen joined CIM as the Director of Operations in 2009 and has assumed the role of Executive Director of the association for 2 years. Jen will be the primary point of contact for the engagement.</w:t>
      </w:r>
    </w:p>
    <w:p>
      <w:pPr>
        <w:pStyle w:val="Body"/>
        <w:ind w:left="810" w:hanging="450"/>
        <w:jc w:val="both"/>
        <w:rPr>
          <w:rtl w:val="0"/>
        </w:rPr>
      </w:pPr>
      <w:r>
        <w:rPr>
          <w:rtl w:val="0"/>
          <w:lang w:val="en-US"/>
        </w:rPr>
        <w:t>2.</w:t>
        <w:tab/>
        <w:t>EVCN Project Advisor: Richard Harbridge</w:t>
      </w:r>
    </w:p>
    <w:p>
      <w:pPr>
        <w:pStyle w:val="Body"/>
        <w:ind w:left="810" w:firstLine="0"/>
        <w:jc w:val="both"/>
        <w:rPr>
          <w:rtl w:val="0"/>
        </w:rPr>
      </w:pPr>
      <w:r>
        <w:rPr>
          <w:rtl w:val="0"/>
          <w:lang w:val="en-US"/>
        </w:rPr>
        <w:t>Refer to Section 12 for more information on the Advisor</w:t>
      </w:r>
      <w:r>
        <w:rPr>
          <w:rFonts w:hAnsi="Calibri" w:hint="default"/>
          <w:rtl w:val="0"/>
          <w:lang w:val="fr-FR"/>
        </w:rPr>
        <w:t>’</w:t>
      </w:r>
      <w:r>
        <w:rPr>
          <w:rtl w:val="0"/>
        </w:rPr>
        <w:t>s role.</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rPr>
          <w:position w:val="0"/>
          <w:rtl w:val="0"/>
        </w:rPr>
      </w:pPr>
      <w:bookmarkStart w:name="_Toc5" w:id="5"/>
      <w:r>
        <w:rPr>
          <w:rtl w:val="0"/>
          <w:lang w:val="en-US"/>
        </w:rPr>
        <w:t>Project Approach</w:t>
      </w:r>
      <w:bookmarkEnd w:id="5"/>
    </w:p>
    <w:p>
      <w:pPr>
        <w:pStyle w:val="Body"/>
        <w:jc w:val="both"/>
        <w:rPr>
          <w:rtl w:val="0"/>
        </w:rPr>
      </w:pPr>
    </w:p>
    <w:p>
      <w:pPr>
        <w:pStyle w:val="Body"/>
        <w:jc w:val="both"/>
        <w:rPr>
          <w:rtl w:val="0"/>
        </w:rPr>
      </w:pPr>
      <w:r>
        <w:rPr>
          <w:rtl w:val="0"/>
          <w:lang w:val="en-US"/>
        </w:rPr>
        <w:t>The Endeavour team is proposing the following approach to meet the goals of the project and deliver recommendations to Connected In Motion:</w:t>
      </w:r>
    </w:p>
    <w:p>
      <w:pPr>
        <w:pStyle w:val="List Paragraph"/>
        <w:numPr>
          <w:ilvl w:val="0"/>
          <w:numId w:val="44"/>
        </w:numPr>
        <w:tabs>
          <w:tab w:val="num" w:pos="720"/>
          <w:tab w:val="clear" w:pos="0"/>
        </w:tabs>
        <w:ind w:left="720" w:hanging="360"/>
        <w:jc w:val="both"/>
        <w:rPr>
          <w:position w:val="0"/>
          <w:rtl w:val="0"/>
        </w:rPr>
      </w:pPr>
      <w:r>
        <w:rPr>
          <w:rtl w:val="0"/>
          <w:lang w:val="en-US"/>
        </w:rPr>
        <w:t>Organizational Review: Reviewing all relevant internal documentation from CIM.</w:t>
      </w:r>
    </w:p>
    <w:p>
      <w:pPr>
        <w:pStyle w:val="List Paragraph"/>
        <w:numPr>
          <w:ilvl w:val="0"/>
          <w:numId w:val="44"/>
        </w:numPr>
        <w:tabs>
          <w:tab w:val="num" w:pos="720"/>
          <w:tab w:val="clear" w:pos="0"/>
        </w:tabs>
        <w:ind w:left="720" w:hanging="360"/>
        <w:jc w:val="both"/>
        <w:rPr>
          <w:position w:val="0"/>
          <w:rtl w:val="0"/>
        </w:rPr>
      </w:pPr>
      <w:r>
        <w:rPr>
          <w:rtl w:val="0"/>
          <w:lang w:val="en-US"/>
        </w:rPr>
        <w:t>Strategic Planning: Developing a high-level 5-year strategic plan.</w:t>
      </w:r>
    </w:p>
    <w:p>
      <w:pPr>
        <w:pStyle w:val="List Paragraph"/>
        <w:numPr>
          <w:ilvl w:val="0"/>
          <w:numId w:val="44"/>
        </w:numPr>
        <w:tabs>
          <w:tab w:val="num" w:pos="720"/>
          <w:tab w:val="clear" w:pos="0"/>
        </w:tabs>
        <w:ind w:left="720" w:hanging="360"/>
        <w:jc w:val="both"/>
        <w:rPr>
          <w:position w:val="0"/>
          <w:rtl w:val="0"/>
        </w:rPr>
      </w:pPr>
      <w:r>
        <w:rPr>
          <w:rtl w:val="0"/>
          <w:lang w:val="en-US"/>
        </w:rPr>
        <w:t>Fundraising Formative Evaluation: Assessing the current status and viability of CIM</w:t>
      </w:r>
      <w:r>
        <w:rPr>
          <w:rFonts w:hAnsi="Calibri" w:hint="default"/>
          <w:rtl w:val="0"/>
          <w:lang w:val="en-US"/>
        </w:rPr>
        <w:t>’</w:t>
      </w:r>
      <w:r>
        <w:rPr>
          <w:rtl w:val="0"/>
          <w:lang w:val="en-US"/>
        </w:rPr>
        <w:t>s existing fundraising model. (depending on outcome of phase 2)</w:t>
      </w:r>
    </w:p>
    <w:p>
      <w:pPr>
        <w:pStyle w:val="List Paragraph"/>
        <w:numPr>
          <w:ilvl w:val="0"/>
          <w:numId w:val="44"/>
        </w:numPr>
        <w:tabs>
          <w:tab w:val="num" w:pos="720"/>
          <w:tab w:val="clear" w:pos="0"/>
        </w:tabs>
        <w:ind w:left="720" w:hanging="360"/>
        <w:jc w:val="both"/>
        <w:rPr>
          <w:position w:val="0"/>
          <w:rtl w:val="0"/>
        </w:rPr>
      </w:pPr>
      <w:r>
        <w:rPr>
          <w:rtl w:val="0"/>
          <w:lang w:val="en-US"/>
        </w:rPr>
        <w:t>Fundraising Strategizing: Creating a fundraising (and if team capacity permit, revenue) strategy that will help CIM obtain its 5-year objectives. (depending on outcome of phase 2)</w:t>
      </w:r>
    </w:p>
    <w:p>
      <w:pPr>
        <w:pStyle w:val="Body"/>
        <w:jc w:val="both"/>
        <w:rPr>
          <w:rtl w:val="0"/>
        </w:rPr>
      </w:pPr>
      <w:r>
        <w:rPr>
          <w:rtl w:val="0"/>
          <w:lang w:val="en-US"/>
        </w:rPr>
        <w:t>These phases will serve as a broad guideline for the progression of the project.</w:t>
      </w:r>
    </w:p>
    <w:p>
      <w:pPr>
        <w:pStyle w:val="Body"/>
        <w:jc w:val="both"/>
        <w:rPr>
          <w:b w:val="1"/>
          <w:bCs w:val="1"/>
        </w:rPr>
      </w:pPr>
      <w:r>
        <w:rPr>
          <w:b w:val="1"/>
          <w:bCs w:val="1"/>
          <w:rtl w:val="0"/>
          <w:lang w:val="en-US"/>
        </w:rPr>
        <w:t>Phase 1. Organizational Review</w:t>
      </w:r>
    </w:p>
    <w:p>
      <w:pPr>
        <w:pStyle w:val="Body"/>
        <w:widowControl w:val="0"/>
        <w:jc w:val="both"/>
      </w:pPr>
      <w:r>
        <w:rPr>
          <w:rtl w:val="0"/>
          <w:lang w:val="en-US"/>
        </w:rPr>
        <w:t>In Stage 1, the engagement team will gather, read, and conduct a preliminary analysis of all relevant international documentation related to CIM</w:t>
      </w:r>
      <w:r>
        <w:rPr>
          <w:rFonts w:hAnsi="Calibri" w:hint="default"/>
          <w:rtl w:val="0"/>
          <w:lang w:val="fr-FR"/>
        </w:rPr>
        <w:t>’</w:t>
      </w:r>
      <w:r>
        <w:rPr>
          <w:rtl w:val="0"/>
          <w:lang w:val="en-US"/>
        </w:rPr>
        <w:t>s strategy and operations. This research will serve as a foundations for subsequent research, analysis and synthesis activities conducted in Stages 2, 3 and 4, including the final deliverables.</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7110"/>
      </w:tblGrid>
      <w:tr>
        <w:tblPrEx>
          <w:shd w:val="clear" w:color="auto" w:fill="auto"/>
        </w:tblPrEx>
        <w:trPr>
          <w:trHeight w:val="27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pPr>
            <w:r>
              <w:rPr>
                <w:b w:val="1"/>
                <w:bCs w:val="1"/>
                <w:caps w:val="0"/>
                <w:smallCaps w:val="0"/>
                <w:strike w:val="0"/>
                <w:dstrike w:val="0"/>
                <w:outline w:val="0"/>
                <w:color w:val="000000"/>
                <w:spacing w:val="0"/>
                <w:kern w:val="0"/>
                <w:position w:val="0"/>
                <w:sz w:val="20"/>
                <w:szCs w:val="20"/>
                <w:u w:val="none" w:color="000000"/>
                <w:vertAlign w:val="baseline"/>
                <w:rtl w:val="0"/>
                <w:lang w:val="en-US"/>
              </w:rPr>
              <w:t>Objectives</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pPr>
            <w:r>
              <w:rPr>
                <w:b w:val="1"/>
                <w:bCs w:val="1"/>
                <w:caps w:val="0"/>
                <w:smallCaps w:val="0"/>
                <w:strike w:val="0"/>
                <w:dstrike w:val="0"/>
                <w:outline w:val="0"/>
                <w:color w:val="000000"/>
                <w:spacing w:val="0"/>
                <w:kern w:val="0"/>
                <w:position w:val="0"/>
                <w:sz w:val="20"/>
                <w:szCs w:val="20"/>
                <w:u w:val="none" w:color="000000"/>
                <w:vertAlign w:val="baseline"/>
                <w:rtl w:val="0"/>
                <w:lang w:val="en-US"/>
              </w:rPr>
              <w:t>Activities</w:t>
            </w:r>
          </w:p>
        </w:tc>
      </w:tr>
      <w:tr>
        <w:tblPrEx>
          <w:shd w:val="clear" w:color="auto" w:fill="auto"/>
        </w:tblPrEx>
        <w:trPr>
          <w:trHeight w:val="4430" w:hRule="atLeast"/>
        </w:trPr>
        <w:tc>
          <w:tcPr>
            <w:tcW w:type="dxa" w:w="225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47"/>
              </w:numPr>
              <w:tabs>
                <w:tab w:val="num" w:pos="270"/>
                <w:tab w:val="clear" w:pos="252"/>
              </w:tabs>
              <w:spacing w:after="0" w:line="240" w:lineRule="auto"/>
              <w:ind w:left="270" w:hanging="19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To obtain a thorough understanding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organizational structure, strategies, and operations</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49"/>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 comprehensive review of all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relevant internal documents, including (but not limited to):</w:t>
            </w:r>
          </w:p>
          <w:p>
            <w:pPr>
              <w:pStyle w:val="Body"/>
              <w:widowControl w:val="0"/>
              <w:numPr>
                <w:ilvl w:val="1"/>
                <w:numId w:val="51"/>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Program and organizational strategy documents.</w:t>
            </w:r>
          </w:p>
          <w:p>
            <w:pPr>
              <w:pStyle w:val="Body"/>
              <w:widowControl w:val="0"/>
              <w:numPr>
                <w:ilvl w:val="1"/>
                <w:numId w:val="52"/>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Marketing strategy documents.</w:t>
            </w:r>
          </w:p>
          <w:p>
            <w:pPr>
              <w:pStyle w:val="Body"/>
              <w:widowControl w:val="0"/>
              <w:numPr>
                <w:ilvl w:val="1"/>
                <w:numId w:val="53"/>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Past project proposals and sponsorship pitches.</w:t>
            </w:r>
          </w:p>
          <w:p>
            <w:pPr>
              <w:pStyle w:val="Body"/>
              <w:widowControl w:val="0"/>
              <w:numPr>
                <w:ilvl w:val="1"/>
                <w:numId w:val="54"/>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Past and current sponsorship grant contracts.</w:t>
            </w:r>
          </w:p>
          <w:p>
            <w:pPr>
              <w:pStyle w:val="Body"/>
              <w:widowControl w:val="0"/>
              <w:numPr>
                <w:ilvl w:val="1"/>
                <w:numId w:val="5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Corporate, foundation, and government marketing materials.</w:t>
            </w:r>
          </w:p>
          <w:p>
            <w:pPr>
              <w:pStyle w:val="Body"/>
              <w:widowControl w:val="0"/>
              <w:numPr>
                <w:ilvl w:val="1"/>
                <w:numId w:val="56"/>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Any direct marketing materials (communications geared at individual donors).</w:t>
            </w:r>
          </w:p>
          <w:p>
            <w:pPr>
              <w:pStyle w:val="Body"/>
              <w:widowControl w:val="0"/>
              <w:numPr>
                <w:ilvl w:val="1"/>
                <w:numId w:val="57"/>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Documentation describing CIM programs.</w:t>
            </w:r>
          </w:p>
          <w:p>
            <w:pPr>
              <w:pStyle w:val="Body"/>
              <w:widowControl w:val="0"/>
              <w:numPr>
                <w:ilvl w:val="1"/>
                <w:numId w:val="58"/>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Past program evaluations.</w:t>
            </w:r>
          </w:p>
          <w:p>
            <w:pPr>
              <w:pStyle w:val="Body"/>
              <w:widowControl w:val="0"/>
              <w:numPr>
                <w:ilvl w:val="1"/>
                <w:numId w:val="59"/>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Documents on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CRM and aggregate profile of participants or donors.</w:t>
            </w:r>
          </w:p>
          <w:p>
            <w:pPr>
              <w:pStyle w:val="Body"/>
              <w:widowControl w:val="0"/>
              <w:numPr>
                <w:ilvl w:val="1"/>
                <w:numId w:val="60"/>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Demographic and/or psychographic information on participants or donors.</w:t>
            </w:r>
          </w:p>
          <w:p>
            <w:pPr>
              <w:pStyle w:val="Body"/>
              <w:widowControl w:val="0"/>
              <w:numPr>
                <w:ilvl w:val="1"/>
                <w:numId w:val="61"/>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Financial statements (including past and current year budgets).</w:t>
            </w:r>
          </w:p>
          <w:p>
            <w:pPr>
              <w:pStyle w:val="Body"/>
              <w:widowControl w:val="0"/>
              <w:numPr>
                <w:ilvl w:val="1"/>
                <w:numId w:val="62"/>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Staff and governance structure documents (including organizational charts, job descriptions, and any other relevant governance materials).</w:t>
            </w:r>
          </w:p>
          <w:p>
            <w:pPr>
              <w:pStyle w:val="Body"/>
              <w:widowControl w:val="0"/>
              <w:numPr>
                <w:ilvl w:val="1"/>
                <w:numId w:val="63"/>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Charitable bylaws and registration documents.</w:t>
            </w:r>
          </w:p>
          <w:p>
            <w:pPr>
              <w:pStyle w:val="Body"/>
              <w:widowControl w:val="0"/>
              <w:numPr>
                <w:ilvl w:val="1"/>
                <w:numId w:val="64"/>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Annual Reports. </w:t>
            </w:r>
          </w:p>
        </w:tc>
      </w:tr>
      <w:tr>
        <w:tblPrEx>
          <w:shd w:val="clear" w:color="auto" w:fill="auto"/>
        </w:tblPrEx>
        <w:trPr>
          <w:trHeight w:val="105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66"/>
              </w:numPr>
              <w:tabs>
                <w:tab w:val="num" w:pos="277"/>
                <w:tab w:val="clear" w:pos="252"/>
              </w:tabs>
              <w:spacing w:after="0" w:line="240" w:lineRule="auto"/>
              <w:ind w:left="277" w:hanging="277"/>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Preliminary analysis of the above documentation to identify core issues as well as areas where more information is needed. The consulting team will provide follow-up research and analysis on areas with insufficient data either in Stage 1, 2, or 3, as appropriate</w:t>
            </w:r>
          </w:p>
        </w:tc>
      </w:tr>
    </w:tbl>
    <w:p>
      <w:pPr>
        <w:pStyle w:val="Body"/>
        <w:widowControl w:val="0"/>
        <w:spacing w:line="240" w:lineRule="auto"/>
        <w:jc w:val="both"/>
      </w:pPr>
    </w:p>
    <w:p>
      <w:pPr>
        <w:pStyle w:val="Body"/>
        <w:jc w:val="both"/>
        <w:rPr>
          <w:b w:val="1"/>
          <w:bCs w:val="1"/>
        </w:rPr>
      </w:pPr>
    </w:p>
    <w:p>
      <w:pPr>
        <w:pStyle w:val="Body"/>
        <w:jc w:val="both"/>
        <w:rPr>
          <w:b w:val="1"/>
          <w:bCs w:val="1"/>
        </w:rPr>
      </w:pPr>
      <w:r>
        <w:rPr>
          <w:b w:val="1"/>
          <w:bCs w:val="1"/>
          <w:rtl w:val="0"/>
        </w:rPr>
        <w:t>Phase 2. Strategic Planning</w:t>
      </w:r>
    </w:p>
    <w:p>
      <w:pPr>
        <w:pStyle w:val="Body"/>
        <w:jc w:val="both"/>
        <w:rPr>
          <w:rtl w:val="0"/>
        </w:rPr>
      </w:pPr>
      <w:r>
        <w:rPr>
          <w:rtl w:val="0"/>
          <w:lang w:val="en-US"/>
        </w:rPr>
        <w:t>Stage 2: Strategic Planning, will consist of research, analysis, and the development of a high-level strategic plan to guide CIM</w:t>
      </w:r>
      <w:r>
        <w:rPr>
          <w:rFonts w:hAnsi="Calibri" w:hint="default"/>
          <w:rtl w:val="0"/>
          <w:lang w:val="fr-FR"/>
        </w:rPr>
        <w:t>’</w:t>
      </w:r>
      <w:r>
        <w:rPr>
          <w:rtl w:val="0"/>
          <w:lang w:val="en-US"/>
        </w:rPr>
        <w:t>s expansion over the next five years. The plan will also guide the development of a fundraising strategy in Stage 4, in order to ensure that fundraising resources are well-spent toward achieving organizational objectives. In this way, both of these strategic documents will work together to ensure CIM achieves its desire impact of expansion to six regions across Canada and in the United States.</w:t>
      </w:r>
    </w:p>
    <w:p>
      <w:pPr>
        <w:pStyle w:val="Body"/>
        <w:widowControl w:val="0"/>
        <w:jc w:val="both"/>
        <w:rPr>
          <w:i w:val="1"/>
          <w:iCs w:val="1"/>
        </w:rPr>
      </w:pPr>
      <w:r>
        <w:rPr>
          <w:i w:val="1"/>
          <w:iCs w:val="1"/>
          <w:rtl w:val="0"/>
          <w:lang w:val="en-US"/>
        </w:rPr>
        <w:t>Note: Transition to Phases 3 and 4 per the Project Approach will be dependent on the outcomes of Phase 2, as agreed-upon between the Endeavour team and CIM.</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40"/>
        <w:gridCol w:w="7020"/>
      </w:tblGrid>
      <w:tr>
        <w:tblPrEx>
          <w:shd w:val="clear" w:color="auto" w:fill="auto"/>
        </w:tblPrEx>
        <w:trPr>
          <w:trHeight w:val="270" w:hRule="atLeast"/>
        </w:trPr>
        <w:tc>
          <w:tcPr>
            <w:tcW w:type="dxa" w:w="234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pPr>
            <w:r>
              <w:rPr>
                <w:b w:val="1"/>
                <w:bCs w:val="1"/>
                <w:caps w:val="0"/>
                <w:smallCaps w:val="0"/>
                <w:strike w:val="0"/>
                <w:dstrike w:val="0"/>
                <w:outline w:val="0"/>
                <w:color w:val="000000"/>
                <w:spacing w:val="0"/>
                <w:kern w:val="0"/>
                <w:position w:val="0"/>
                <w:sz w:val="20"/>
                <w:szCs w:val="20"/>
                <w:u w:val="none" w:color="000000"/>
                <w:vertAlign w:val="baseline"/>
                <w:rtl w:val="0"/>
                <w:lang w:val="en-US"/>
              </w:rPr>
              <w:t>Objectives</w:t>
            </w:r>
          </w:p>
        </w:tc>
        <w:tc>
          <w:tcPr>
            <w:tcW w:type="dxa" w:w="702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pPr>
            <w:r>
              <w:rPr>
                <w:b w:val="1"/>
                <w:bCs w:val="1"/>
                <w:caps w:val="0"/>
                <w:smallCaps w:val="0"/>
                <w:strike w:val="0"/>
                <w:dstrike w:val="0"/>
                <w:outline w:val="0"/>
                <w:color w:val="000000"/>
                <w:spacing w:val="0"/>
                <w:kern w:val="0"/>
                <w:position w:val="0"/>
                <w:sz w:val="20"/>
                <w:szCs w:val="20"/>
                <w:u w:val="none" w:color="000000"/>
                <w:vertAlign w:val="baseline"/>
                <w:rtl w:val="0"/>
                <w:lang w:val="en-US"/>
              </w:rPr>
              <w:t>Activities</w:t>
            </w:r>
          </w:p>
        </w:tc>
      </w:tr>
      <w:tr>
        <w:tblPrEx>
          <w:shd w:val="clear" w:color="auto" w:fill="auto"/>
        </w:tblPrEx>
        <w:trPr>
          <w:trHeight w:val="3130" w:hRule="atLeast"/>
        </w:trPr>
        <w:tc>
          <w:tcPr>
            <w:tcW w:type="dxa" w:w="234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numPr>
                <w:ilvl w:val="0"/>
                <w:numId w:val="69"/>
              </w:numPr>
              <w:tabs>
                <w:tab w:val="num" w:pos="270"/>
                <w:tab w:val="clear" w:pos="252"/>
              </w:tabs>
              <w:spacing w:after="0" w:line="240" w:lineRule="auto"/>
              <w:ind w:left="270" w:hanging="19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Phase 2A - Context Analysis: To provide a complete and detailed context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internal and external analysis.</w:t>
            </w:r>
          </w:p>
        </w:tc>
        <w:tc>
          <w:tcPr>
            <w:tcW w:type="dxa" w:w="702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numPr>
                <w:ilvl w:val="0"/>
                <w:numId w:val="71"/>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Data collection and analysis, including the use of existing internal documents review in Stage 1 and (following the development of interview and focus group guides). Potential activities (to be agreed-upon between CIM and the Endeavour team) include:</w:t>
            </w:r>
          </w:p>
          <w:p>
            <w:pPr>
              <w:pStyle w:val="List Paragraph"/>
              <w:numPr>
                <w:ilvl w:val="1"/>
                <w:numId w:val="73"/>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30-minute semi-structured interview with all staff and Board members on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strategic direction (these can be combined into 45-minute to 1-hour interviews articulated in Stage 3, below).</w:t>
            </w:r>
          </w:p>
          <w:p>
            <w:pPr>
              <w:pStyle w:val="List Paragraph"/>
              <w:numPr>
                <w:ilvl w:val="1"/>
                <w:numId w:val="74"/>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2 x 1.5-hour focus groups with CIM participants in the GTA region.</w:t>
            </w:r>
          </w:p>
          <w:p>
            <w:pPr>
              <w:pStyle w:val="List Paragraph"/>
              <w:numPr>
                <w:ilvl w:val="1"/>
                <w:numId w:val="75"/>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 xml:space="preserve">Short Google Forms survey to be sent out to CIM participants across Canada and the US (collect 50 survey responses, minimum). </w:t>
            </w:r>
          </w:p>
          <w:p>
            <w:pPr>
              <w:pStyle w:val="List Paragraph"/>
              <w:numPr>
                <w:ilvl w:val="1"/>
                <w:numId w:val="76"/>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Analysis of qualitative data.</w:t>
            </w:r>
          </w:p>
          <w:p>
            <w:pPr>
              <w:pStyle w:val="List Paragraph"/>
              <w:numPr>
                <w:ilvl w:val="1"/>
                <w:numId w:val="77"/>
              </w:numPr>
              <w:tabs>
                <w:tab w:val="num" w:pos="558"/>
                <w:tab w:val="clear" w:pos="522"/>
              </w:tabs>
              <w:spacing w:after="0" w:line="240" w:lineRule="auto"/>
              <w:ind w:left="55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SWOT analysis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internal environment.</w:t>
            </w:r>
          </w:p>
        </w:tc>
      </w:tr>
      <w:tr>
        <w:tblPrEx>
          <w:shd w:val="clear" w:color="auto" w:fill="auto"/>
        </w:tblPrEx>
        <w:trPr>
          <w:trHeight w:val="3390" w:hRule="atLeast"/>
        </w:trPr>
        <w:tc>
          <w:tcPr>
            <w:tcW w:type="dxa" w:w="2340"/>
            <w:vMerge w:val="continue"/>
            <w:tcBorders>
              <w:top w:val="single" w:color="9cc2e5" w:sz="4" w:space="0" w:shadow="0" w:frame="0"/>
              <w:left w:val="nil"/>
              <w:bottom w:val="single" w:color="9cc2e5" w:sz="4" w:space="0" w:shadow="0" w:frame="0"/>
              <w:right w:val="nil"/>
            </w:tcBorders>
            <w:shd w:val="clear" w:color="auto" w:fill="auto"/>
          </w:tcPr>
          <w:p/>
        </w:tc>
        <w:tc>
          <w:tcPr>
            <w:tcW w:type="dxa" w:w="702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numPr>
                <w:ilvl w:val="0"/>
                <w:numId w:val="80"/>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Data collection and analysis on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external environment. Potential areas of research (to be determined by the Endeavour team) include:</w:t>
            </w:r>
          </w:p>
          <w:p>
            <w:pPr>
              <w:pStyle w:val="List Paragraph"/>
              <w:numPr>
                <w:ilvl w:val="1"/>
                <w:numId w:val="82"/>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Diabetes non-profit organizations (partners and competitors) and government agencies in Canada and their key areas of focus.</w:t>
            </w:r>
          </w:p>
          <w:p>
            <w:pPr>
              <w:pStyle w:val="List Paragraph"/>
              <w:numPr>
                <w:ilvl w:val="1"/>
                <w:numId w:val="83"/>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Key topics in the field of Type 1 diabetes in Canada today (at national and provincial levels).</w:t>
            </w:r>
          </w:p>
          <w:p>
            <w:pPr>
              <w:pStyle w:val="List Paragraph"/>
              <w:numPr>
                <w:ilvl w:val="1"/>
                <w:numId w:val="84"/>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Demographic and psychographic data on people living with Type 1 diabetes in Canada.</w:t>
            </w:r>
          </w:p>
          <w:p>
            <w:pPr>
              <w:pStyle w:val="List Paragraph"/>
              <w:numPr>
                <w:ilvl w:val="1"/>
                <w:numId w:val="85"/>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Analysis of diabetes non-profit organizations and government agencies, as well as key topics in diabetes and demographic/psychographic data, in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target markets in the United States.</w:t>
            </w:r>
          </w:p>
          <w:p>
            <w:pPr>
              <w:pStyle w:val="List Paragraph"/>
              <w:numPr>
                <w:ilvl w:val="1"/>
                <w:numId w:val="86"/>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PESTLE analysis.</w:t>
            </w:r>
          </w:p>
          <w:p>
            <w:pPr>
              <w:pStyle w:val="List Paragraph"/>
              <w:numPr>
                <w:ilvl w:val="1"/>
                <w:numId w:val="87"/>
              </w:numPr>
              <w:tabs>
                <w:tab w:val="num" w:pos="558"/>
                <w:tab w:val="clear" w:pos="522"/>
              </w:tabs>
              <w:spacing w:after="0" w:line="240" w:lineRule="auto"/>
              <w:ind w:left="55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Force Field Analysis.</w:t>
            </w:r>
          </w:p>
        </w:tc>
      </w:tr>
      <w:tr>
        <w:tblPrEx>
          <w:shd w:val="clear" w:color="auto" w:fill="auto"/>
        </w:tblPrEx>
        <w:trPr>
          <w:trHeight w:val="4430" w:hRule="atLeast"/>
        </w:trPr>
        <w:tc>
          <w:tcPr>
            <w:tcW w:type="dxa" w:w="234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88"/>
              </w:numPr>
              <w:tabs>
                <w:tab w:val="num" w:pos="270"/>
                <w:tab w:val="clear" w:pos="252"/>
              </w:tabs>
              <w:spacing w:after="0" w:line="240" w:lineRule="auto"/>
              <w:ind w:left="270" w:hanging="19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2B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Development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5-year Strategic Plan: To develop an analytical 5-year strategic plan that will clearly guide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expansion into 6 regions across Canada and the United States</w:t>
            </w:r>
          </w:p>
        </w:tc>
        <w:tc>
          <w:tcPr>
            <w:tcW w:type="dxa" w:w="702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numPr>
                <w:ilvl w:val="0"/>
                <w:numId w:val="89"/>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Based on document and information shared by CIM, and the research conducted in Stages 1 and earlier in Stage 2, develop high-level goals for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strategy over the next 5 years, including:</w:t>
            </w:r>
          </w:p>
          <w:p>
            <w:pPr>
              <w:pStyle w:val="List Paragraph"/>
              <w:numPr>
                <w:ilvl w:val="1"/>
                <w:numId w:val="90"/>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Overall impact: What CIM will be achieving in 5 years.</w:t>
            </w:r>
          </w:p>
          <w:p>
            <w:pPr>
              <w:pStyle w:val="List Paragraph"/>
              <w:numPr>
                <w:ilvl w:val="1"/>
                <w:numId w:val="91"/>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 xml:space="preserve">Yearly objectives: What CIM will be achieving in each of years 1, 2, 3, 4 and 5 to ensure that the overall desired impact is realized. </w:t>
            </w:r>
          </w:p>
          <w:p>
            <w:pPr>
              <w:pStyle w:val="List Paragraph"/>
              <w:numPr>
                <w:ilvl w:val="1"/>
                <w:numId w:val="92"/>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 xml:space="preserve">Metrics for tracking success: The key indicators and/or milestones CIM will track to measure achievement of strategic objectives. </w:t>
            </w:r>
          </w:p>
          <w:p>
            <w:pPr>
              <w:pStyle w:val="List Paragraph"/>
              <w:numPr>
                <w:ilvl w:val="1"/>
                <w:numId w:val="93"/>
              </w:numPr>
              <w:tabs>
                <w:tab w:val="num" w:pos="558"/>
                <w:tab w:val="clear" w:pos="522"/>
              </w:tabs>
              <w:spacing w:after="0" w:line="240" w:lineRule="auto"/>
              <w:ind w:left="55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Articulating a theory of change for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work. In other words, defining the assumptions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work is based on, and how its activities and strategy will drive the change it desires to see. (This is important for (a) ensuring the most effective use of resources and weeding out non-strategic work; (b) demonstrating societal value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work to government/foundations; and (c) creating a foundation for clarifying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value proposition).</w:t>
            </w:r>
          </w:p>
          <w:p>
            <w:pPr>
              <w:pStyle w:val="List Paragraph"/>
              <w:numPr>
                <w:ilvl w:val="1"/>
                <w:numId w:val="94"/>
              </w:numPr>
              <w:tabs>
                <w:tab w:val="num" w:pos="558"/>
                <w:tab w:val="clear" w:pos="522"/>
              </w:tabs>
              <w:spacing w:after="0" w:line="240" w:lineRule="auto"/>
              <w:ind w:left="55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A timeline and strategy/rationale for geographic and program expansion, based on our research and target markets identified by CIM (in both Canada and the United States).</w:t>
            </w:r>
          </w:p>
        </w:tc>
      </w:tr>
      <w:tr>
        <w:tblPrEx>
          <w:shd w:val="clear" w:color="auto" w:fill="auto"/>
        </w:tblPrEx>
        <w:trPr>
          <w:trHeight w:val="1310" w:hRule="atLeast"/>
        </w:trPr>
        <w:tc>
          <w:tcPr>
            <w:tcW w:type="dxa" w:w="2340"/>
            <w:vMerge w:val="continue"/>
            <w:tcBorders>
              <w:top w:val="single" w:color="9cc2e5" w:sz="4" w:space="0" w:shadow="0" w:frame="0"/>
              <w:left w:val="nil"/>
              <w:bottom w:val="single" w:color="9cc2e5" w:sz="4" w:space="0" w:shadow="0" w:frame="0"/>
              <w:right w:val="nil"/>
            </w:tcBorders>
            <w:shd w:val="clear" w:color="auto" w:fill="auto"/>
          </w:tcPr>
          <w:p/>
        </w:tc>
        <w:tc>
          <w:tcPr>
            <w:tcW w:type="dxa" w:w="702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numPr>
                <w:ilvl w:val="0"/>
                <w:numId w:val="95"/>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Production of a risk management matrix.</w:t>
            </w:r>
          </w:p>
          <w:p>
            <w:pPr>
              <w:pStyle w:val="List Paragraph"/>
              <w:numPr>
                <w:ilvl w:val="0"/>
                <w:numId w:val="96"/>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Develop draft of the strategic planning document.</w:t>
            </w:r>
          </w:p>
          <w:p>
            <w:pPr>
              <w:pStyle w:val="List Paragraph"/>
              <w:numPr>
                <w:ilvl w:val="0"/>
                <w:numId w:val="97"/>
              </w:numPr>
              <w:tabs>
                <w:tab w:val="num" w:pos="297"/>
                <w:tab w:val="clear" w:pos="270"/>
              </w:tabs>
              <w:spacing w:after="0" w:line="240" w:lineRule="auto"/>
              <w:ind w:left="297"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Consult CIM Executive Director, staff and Board. Receive input and make modifications, as needed.</w:t>
            </w:r>
          </w:p>
          <w:p>
            <w:pPr>
              <w:pStyle w:val="List Paragraph"/>
              <w:numPr>
                <w:ilvl w:val="0"/>
                <w:numId w:val="98"/>
              </w:numPr>
              <w:tabs>
                <w:tab w:val="num" w:pos="297"/>
                <w:tab w:val="clear" w:pos="270"/>
              </w:tabs>
              <w:spacing w:after="0" w:line="240" w:lineRule="auto"/>
              <w:ind w:left="297" w:hanging="297"/>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Develop the final draft.</w:t>
            </w:r>
          </w:p>
        </w:tc>
      </w:tr>
    </w:tbl>
    <w:p>
      <w:pPr>
        <w:pStyle w:val="Body"/>
        <w:widowControl w:val="0"/>
        <w:spacing w:line="240" w:lineRule="auto"/>
        <w:jc w:val="both"/>
        <w:rPr>
          <w:i w:val="1"/>
          <w:iCs w:val="1"/>
        </w:rPr>
      </w:pPr>
    </w:p>
    <w:p>
      <w:pPr>
        <w:pStyle w:val="Body"/>
        <w:jc w:val="both"/>
        <w:rPr>
          <w:i w:val="1"/>
          <w:iCs w:val="1"/>
        </w:rPr>
      </w:pPr>
    </w:p>
    <w:p>
      <w:pPr>
        <w:pStyle w:val="Body"/>
        <w:jc w:val="both"/>
        <w:rPr>
          <w:b w:val="1"/>
          <w:bCs w:val="1"/>
        </w:rPr>
      </w:pPr>
      <w:r>
        <w:rPr>
          <w:b w:val="1"/>
          <w:bCs w:val="1"/>
          <w:rtl w:val="0"/>
          <w:lang w:val="en-US"/>
        </w:rPr>
        <w:t>Phase 3. Fundraising Formative Evaluation and Revenue Stream Assessment</w:t>
      </w:r>
    </w:p>
    <w:p>
      <w:pPr>
        <w:pStyle w:val="Body"/>
        <w:jc w:val="both"/>
        <w:rPr>
          <w:i w:val="1"/>
          <w:iCs w:val="1"/>
        </w:rPr>
      </w:pPr>
      <w:r>
        <w:rPr>
          <w:i w:val="1"/>
          <w:iCs w:val="1"/>
          <w:rtl w:val="0"/>
          <w:lang w:val="en-US"/>
        </w:rPr>
        <w:t xml:space="preserve">Note: Progression into Phase 3 will be dependent on the outcomes of Phase 2 and will be mutually decided upon between the Endeavour team and CIM. </w:t>
      </w:r>
    </w:p>
    <w:p>
      <w:pPr>
        <w:pStyle w:val="Body"/>
        <w:jc w:val="both"/>
        <w:rPr>
          <w:rtl w:val="0"/>
        </w:rPr>
      </w:pPr>
      <w:r>
        <w:rPr>
          <w:rtl w:val="0"/>
          <w:lang w:val="en-US"/>
        </w:rPr>
        <w:t>A formative evaluation is conducted at the beginning of a project to guide and improve the design and ensure a successful outcome. The purpose of this stage is to holistically assess the current status and viability of CIM</w:t>
      </w:r>
      <w:r>
        <w:rPr>
          <w:rFonts w:hAnsi="Calibri" w:hint="default"/>
          <w:rtl w:val="0"/>
          <w:lang w:val="fr-FR"/>
        </w:rPr>
        <w:t>’</w:t>
      </w:r>
      <w:r>
        <w:rPr>
          <w:rtl w:val="0"/>
          <w:lang w:val="en-US"/>
        </w:rPr>
        <w:t>s fundraising model, including its existing sponsorship channels and earned revenue streams. This is part of our due diligence in determining the most significant factors constraining the growth needed to fund CIM</w:t>
      </w:r>
      <w:r>
        <w:rPr>
          <w:rFonts w:hAnsi="Calibri" w:hint="default"/>
          <w:rtl w:val="0"/>
          <w:lang w:val="fr-FR"/>
        </w:rPr>
        <w:t>’</w:t>
      </w:r>
      <w:r>
        <w:rPr>
          <w:rtl w:val="0"/>
          <w:lang w:val="en-US"/>
        </w:rPr>
        <w:t>s program expansion (see Stage 3). Activities conducted within Stage 3 will focus on gathering and analyzing the necessary data to make an in-depth evaluation of CIM</w:t>
      </w:r>
      <w:r>
        <w:rPr>
          <w:rFonts w:hAnsi="Calibri" w:hint="default"/>
          <w:rtl w:val="0"/>
          <w:lang w:val="fr-FR"/>
        </w:rPr>
        <w:t>’</w:t>
      </w:r>
      <w:r>
        <w:rPr>
          <w:rtl w:val="0"/>
        </w:rPr>
        <w:t>s model</w:t>
      </w:r>
      <w:r>
        <w:rPr>
          <w:rFonts w:hAnsi="Calibri" w:hint="default"/>
          <w:rtl w:val="0"/>
        </w:rPr>
        <w:t>—</w:t>
      </w:r>
      <w:r>
        <w:rPr>
          <w:rtl w:val="0"/>
          <w:lang w:val="en-US"/>
        </w:rPr>
        <w:t>including areas of high and low performance, and those where more data is needed. In particular, it will include research into diabetes-related corporations to fully determine what extra space may be available for CIM to pursue additional sponsorship within the sector. The outcomes of Stage 3 will support an informed research plan under Stage 4, ensuring that the final fundraising model recommended is evidence-based and well-tailored to CIM</w:t>
      </w:r>
      <w:r>
        <w:rPr>
          <w:rFonts w:hAnsi="Calibri" w:hint="default"/>
          <w:rtl w:val="0"/>
          <w:lang w:val="fr-FR"/>
        </w:rPr>
        <w:t>’</w:t>
      </w:r>
      <w:r>
        <w:rPr>
          <w:rtl w:val="0"/>
          <w:lang w:val="en-US"/>
        </w:rPr>
        <w:t>s needs and industry trends.</w:t>
      </w:r>
    </w:p>
    <w:p>
      <w:pPr>
        <w:pStyle w:val="Body"/>
        <w:jc w:val="both"/>
        <w:rPr>
          <w:rtl w:val="0"/>
        </w:rPr>
      </w:pPr>
    </w:p>
    <w:p>
      <w:pPr>
        <w:pStyle w:val="Body"/>
        <w:widowControl w:val="0"/>
        <w:jc w:val="both"/>
        <w:rPr>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7110"/>
      </w:tblGrid>
      <w:tr>
        <w:tblPrEx>
          <w:shd w:val="clear" w:color="auto" w:fill="auto"/>
        </w:tblPrEx>
        <w:trPr>
          <w:trHeight w:val="27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pPr>
            <w:r>
              <w:rPr>
                <w:b w:val="1"/>
                <w:bCs w:val="1"/>
                <w:caps w:val="0"/>
                <w:smallCaps w:val="0"/>
                <w:strike w:val="0"/>
                <w:dstrike w:val="0"/>
                <w:outline w:val="0"/>
                <w:color w:val="000000"/>
                <w:spacing w:val="0"/>
                <w:kern w:val="0"/>
                <w:position w:val="0"/>
                <w:sz w:val="20"/>
                <w:szCs w:val="20"/>
                <w:u w:val="none" w:color="000000"/>
                <w:vertAlign w:val="baseline"/>
                <w:rtl w:val="0"/>
                <w:lang w:val="en-US"/>
              </w:rPr>
              <w:t>Objectives</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pPr>
            <w:r>
              <w:rPr>
                <w:b w:val="1"/>
                <w:bCs w:val="1"/>
                <w:caps w:val="0"/>
                <w:smallCaps w:val="0"/>
                <w:strike w:val="0"/>
                <w:dstrike w:val="0"/>
                <w:outline w:val="0"/>
                <w:color w:val="000000"/>
                <w:spacing w:val="0"/>
                <w:kern w:val="0"/>
                <w:position w:val="0"/>
                <w:sz w:val="20"/>
                <w:szCs w:val="20"/>
                <w:u w:val="none" w:color="000000"/>
                <w:vertAlign w:val="baseline"/>
                <w:rtl w:val="0"/>
                <w:lang w:val="en-US"/>
              </w:rPr>
              <w:t>Activities</w:t>
            </w:r>
          </w:p>
        </w:tc>
      </w:tr>
      <w:tr>
        <w:tblPrEx>
          <w:shd w:val="clear" w:color="auto" w:fill="auto"/>
        </w:tblPrEx>
        <w:trPr>
          <w:trHeight w:val="1050" w:hRule="atLeast"/>
        </w:trPr>
        <w:tc>
          <w:tcPr>
            <w:tcW w:type="dxa" w:w="225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99"/>
              </w:numPr>
              <w:tabs>
                <w:tab w:val="num" w:pos="270"/>
                <w:tab w:val="clear" w:pos="252"/>
              </w:tabs>
              <w:spacing w:after="0" w:line="240" w:lineRule="auto"/>
              <w:ind w:left="270" w:hanging="19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3A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Internal Evaluation: To comprehensively examine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existing fundraising model in order to identify key areas of high performance and low performance (where changes are needed)</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01"/>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In-depth-analysis of internal documents relating to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fundraising model, including:</w:t>
            </w:r>
          </w:p>
          <w:p>
            <w:pPr>
              <w:pStyle w:val="Body"/>
              <w:widowControl w:val="0"/>
              <w:numPr>
                <w:ilvl w:val="1"/>
                <w:numId w:val="103"/>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Financial analysis of fundraising performance (growth/trend analysis, cost-benefit analysis, etc.).</w:t>
            </w:r>
          </w:p>
        </w:tc>
      </w:tr>
      <w:tr>
        <w:tblPrEx>
          <w:shd w:val="clear" w:color="auto" w:fill="auto"/>
        </w:tblPrEx>
        <w:trPr>
          <w:trHeight w:val="261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04"/>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Qualitative research with key stakeholders to contextualize CIM documentation and quantitative analysis:</w:t>
            </w:r>
          </w:p>
          <w:p>
            <w:pPr>
              <w:pStyle w:val="Body"/>
              <w:widowControl w:val="0"/>
              <w:numPr>
                <w:ilvl w:val="1"/>
                <w:numId w:val="10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Collect data (following the development of interview and focus group guides) (to be determined by the Endeavour team):</w:t>
            </w:r>
          </w:p>
          <w:p>
            <w:pPr>
              <w:pStyle w:val="Body"/>
              <w:widowControl w:val="0"/>
              <w:numPr>
                <w:ilvl w:val="2"/>
                <w:numId w:val="107"/>
              </w:numPr>
              <w:tabs>
                <w:tab w:val="num" w:pos="1089"/>
                <w:tab w:val="clear" w:pos="1062"/>
              </w:tabs>
              <w:spacing w:after="0" w:line="240" w:lineRule="auto"/>
              <w:ind w:left="1089"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30-minute semi-structured interview with the Executive Director</w:t>
            </w:r>
          </w:p>
          <w:p>
            <w:pPr>
              <w:pStyle w:val="Body"/>
              <w:widowControl w:val="0"/>
              <w:numPr>
                <w:ilvl w:val="2"/>
                <w:numId w:val="108"/>
              </w:numPr>
              <w:tabs>
                <w:tab w:val="num" w:pos="1089"/>
                <w:tab w:val="clear" w:pos="1062"/>
              </w:tabs>
              <w:spacing w:after="0" w:line="240" w:lineRule="auto"/>
              <w:ind w:left="1089"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30-minute semi-structured interviews with fundraising staff</w:t>
            </w:r>
          </w:p>
          <w:p>
            <w:pPr>
              <w:pStyle w:val="Body"/>
              <w:widowControl w:val="0"/>
              <w:numPr>
                <w:ilvl w:val="2"/>
                <w:numId w:val="109"/>
              </w:numPr>
              <w:tabs>
                <w:tab w:val="num" w:pos="1089"/>
                <w:tab w:val="clear" w:pos="1062"/>
              </w:tabs>
              <w:spacing w:after="0" w:line="240" w:lineRule="auto"/>
              <w:ind w:left="1089"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30-minute semi-structured interviews with Board members</w:t>
            </w:r>
          </w:p>
          <w:p>
            <w:pPr>
              <w:pStyle w:val="Body"/>
              <w:widowControl w:val="0"/>
              <w:numPr>
                <w:ilvl w:val="2"/>
                <w:numId w:val="110"/>
              </w:numPr>
              <w:tabs>
                <w:tab w:val="num" w:pos="1089"/>
                <w:tab w:val="clear" w:pos="1062"/>
              </w:tabs>
              <w:spacing w:after="0" w:line="240" w:lineRule="auto"/>
              <w:ind w:left="1089"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Semi-structured interviews with existing sponsors (minimum 2)</w:t>
            </w:r>
          </w:p>
          <w:p>
            <w:pPr>
              <w:pStyle w:val="Body"/>
              <w:widowControl w:val="0"/>
              <w:numPr>
                <w:ilvl w:val="2"/>
                <w:numId w:val="111"/>
              </w:numPr>
              <w:tabs>
                <w:tab w:val="num" w:pos="1089"/>
                <w:tab w:val="clear" w:pos="1062"/>
              </w:tabs>
              <w:spacing w:after="0" w:line="240" w:lineRule="auto"/>
              <w:ind w:left="1089" w:hanging="29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2 1.5-hour focus group with 5-8 individual donors</w:t>
            </w:r>
          </w:p>
          <w:p>
            <w:pPr>
              <w:pStyle w:val="Body"/>
              <w:widowControl w:val="0"/>
              <w:numPr>
                <w:ilvl w:val="0"/>
                <w:numId w:val="112"/>
              </w:numPr>
              <w:tabs>
                <w:tab w:val="num" w:pos="297"/>
                <w:tab w:val="clear" w:pos="270"/>
              </w:tabs>
              <w:spacing w:after="0" w:line="240" w:lineRule="auto"/>
              <w:ind w:left="297" w:hanging="297"/>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Conduct analysis.</w:t>
            </w:r>
          </w:p>
        </w:tc>
      </w:tr>
      <w:tr>
        <w:tblPrEx>
          <w:shd w:val="clear" w:color="auto" w:fill="auto"/>
        </w:tblPrEx>
        <w:trPr>
          <w:trHeight w:val="131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13"/>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Synthesis of all data collected.</w:t>
            </w:r>
          </w:p>
          <w:p>
            <w:pPr>
              <w:pStyle w:val="Body"/>
              <w:widowControl w:val="0"/>
              <w:numPr>
                <w:ilvl w:val="1"/>
                <w:numId w:val="114"/>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For each fundraising/revenue stream (corporate sponsorships, grants, individual donors, and earned income).</w:t>
            </w:r>
          </w:p>
          <w:p>
            <w:pPr>
              <w:pStyle w:val="Body"/>
              <w:widowControl w:val="0"/>
              <w:numPr>
                <w:ilvl w:val="1"/>
                <w:numId w:val="11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For the overall program.</w:t>
            </w:r>
          </w:p>
          <w:p>
            <w:pPr>
              <w:pStyle w:val="Body"/>
              <w:widowControl w:val="0"/>
              <w:numPr>
                <w:ilvl w:val="1"/>
                <w:numId w:val="116"/>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Identification of high and low performance areas for both of the above.</w:t>
            </w:r>
          </w:p>
        </w:tc>
      </w:tr>
      <w:tr>
        <w:tblPrEx>
          <w:shd w:val="clear" w:color="auto" w:fill="auto"/>
        </w:tblPrEx>
        <w:trPr>
          <w:trHeight w:val="1570" w:hRule="atLeast"/>
        </w:trPr>
        <w:tc>
          <w:tcPr>
            <w:tcW w:type="dxa" w:w="225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18"/>
              </w:numPr>
              <w:tabs>
                <w:tab w:val="num" w:pos="156"/>
                <w:tab w:val="clear" w:pos="142"/>
              </w:tabs>
              <w:spacing w:after="0" w:line="240" w:lineRule="auto"/>
              <w:ind w:left="156" w:hanging="15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3B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Diabetes-Sector Sponsorship Research: To better understand the potential for CIM to be awarded additional sponsorship from diabetes-sector corporations</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19"/>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External market (desktop) research and analysis on opportunities within the diabetes-sector corporate giving market, potentially including:</w:t>
            </w:r>
          </w:p>
          <w:p>
            <w:pPr>
              <w:pStyle w:val="Body"/>
              <w:widowControl w:val="0"/>
              <w:numPr>
                <w:ilvl w:val="1"/>
                <w:numId w:val="120"/>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The giving profile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existing sponsors.</w:t>
            </w:r>
          </w:p>
          <w:p>
            <w:pPr>
              <w:pStyle w:val="Body"/>
              <w:widowControl w:val="0"/>
              <w:numPr>
                <w:ilvl w:val="1"/>
                <w:numId w:val="121"/>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 list of all diabetes-sector companies (and their business focus) operating in Canada and the United States.</w:t>
            </w:r>
          </w:p>
          <w:p>
            <w:pPr>
              <w:pStyle w:val="Body"/>
              <w:widowControl w:val="0"/>
              <w:numPr>
                <w:ilvl w:val="1"/>
                <w:numId w:val="122"/>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A giving profile of all companies.</w:t>
            </w:r>
          </w:p>
        </w:tc>
      </w:tr>
      <w:tr>
        <w:tblPrEx>
          <w:shd w:val="clear" w:color="auto" w:fill="auto"/>
        </w:tblPrEx>
        <w:trPr>
          <w:trHeight w:val="105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23"/>
              </w:numPr>
              <w:tabs>
                <w:tab w:val="num" w:pos="277"/>
                <w:tab w:val="clear" w:pos="252"/>
              </w:tabs>
              <w:spacing w:after="0" w:line="240" w:lineRule="auto"/>
              <w:ind w:left="277" w:hanging="277"/>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Primary research (potentially including calling and emailing companies, and data requests, to determine their charitable giving requirements and profile). The analysis conducted on this will help determine untapped opportunities CIM could pursue.</w:t>
            </w:r>
          </w:p>
        </w:tc>
      </w:tr>
      <w:tr>
        <w:tblPrEx>
          <w:shd w:val="clear" w:color="auto" w:fill="auto"/>
        </w:tblPrEx>
        <w:trPr>
          <w:trHeight w:val="131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24"/>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Diabetes-sector competitor research.</w:t>
            </w:r>
          </w:p>
          <w:p>
            <w:pPr>
              <w:pStyle w:val="Body"/>
              <w:widowControl w:val="0"/>
              <w:numPr>
                <w:ilvl w:val="1"/>
                <w:numId w:val="12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Identify the type and value of corporate sponsorships received by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competitors in Canada and the United States.</w:t>
            </w:r>
          </w:p>
          <w:p>
            <w:pPr>
              <w:pStyle w:val="Body"/>
              <w:widowControl w:val="0"/>
              <w:numPr>
                <w:ilvl w:val="1"/>
                <w:numId w:val="126"/>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Identify key area of comparative advantage and weaker areas, including where CIM received more (or less) funding than competitors and why.</w:t>
            </w:r>
          </w:p>
        </w:tc>
      </w:tr>
      <w:tr>
        <w:tblPrEx>
          <w:shd w:val="clear" w:color="auto" w:fill="auto"/>
        </w:tblPrEx>
        <w:trPr>
          <w:trHeight w:val="235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27"/>
              </w:numPr>
              <w:tabs>
                <w:tab w:val="num" w:pos="156"/>
                <w:tab w:val="clear" w:pos="142"/>
              </w:tabs>
              <w:spacing w:after="0" w:line="240" w:lineRule="auto"/>
              <w:ind w:left="156" w:hanging="15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3C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Recommendations: To develop recommendations for CIM to pursue, or not pursue, diabetes-sector corporate sponsorship to meet the needs of their strategic plan</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28"/>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Synthesize internal research on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fundraising model and external research on the diabetes-sector market.</w:t>
            </w:r>
          </w:p>
          <w:p>
            <w:pPr>
              <w:pStyle w:val="Body"/>
              <w:widowControl w:val="0"/>
              <w:numPr>
                <w:ilvl w:val="0"/>
                <w:numId w:val="129"/>
              </w:numPr>
              <w:tabs>
                <w:tab w:val="num" w:pos="277"/>
                <w:tab w:val="clear" w:pos="252"/>
              </w:tabs>
              <w:spacing w:after="0" w:line="240" w:lineRule="auto"/>
              <w:ind w:left="277" w:hanging="277"/>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Develop recommendations on whether or not (and why/how) CIM should pursue additional diabetes-sector sponsorship.</w:t>
            </w:r>
          </w:p>
          <w:p>
            <w:pPr>
              <w:pStyle w:val="Body"/>
              <w:widowControl w:val="0"/>
              <w:numPr>
                <w:ilvl w:val="0"/>
                <w:numId w:val="130"/>
              </w:numPr>
              <w:tabs>
                <w:tab w:val="num" w:pos="277"/>
                <w:tab w:val="clear" w:pos="252"/>
              </w:tabs>
              <w:spacing w:after="0" w:line="240" w:lineRule="auto"/>
              <w:ind w:left="277" w:hanging="277"/>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Set parameters for research and strategy development in Stage 4.</w:t>
            </w:r>
          </w:p>
        </w:tc>
      </w:tr>
    </w:tbl>
    <w:p>
      <w:pPr>
        <w:pStyle w:val="Body"/>
        <w:widowControl w:val="0"/>
        <w:spacing w:line="240" w:lineRule="auto"/>
        <w:jc w:val="both"/>
        <w:rPr>
          <w:rtl w:val="0"/>
        </w:rPr>
      </w:pPr>
    </w:p>
    <w:p>
      <w:pPr>
        <w:pStyle w:val="Body"/>
        <w:jc w:val="both"/>
        <w:rPr>
          <w:b w:val="1"/>
          <w:bCs w:val="1"/>
        </w:rPr>
      </w:pPr>
    </w:p>
    <w:p>
      <w:pPr>
        <w:pStyle w:val="Body"/>
        <w:jc w:val="both"/>
        <w:rPr>
          <w:b w:val="1"/>
          <w:bCs w:val="1"/>
        </w:rPr>
      </w:pPr>
      <w:r>
        <w:rPr>
          <w:b w:val="1"/>
          <w:bCs w:val="1"/>
          <w:rtl w:val="0"/>
          <w:lang w:val="en-US"/>
        </w:rPr>
        <w:t>Phase 4. Strategy Recommendations and Implementation Plan</w:t>
      </w:r>
    </w:p>
    <w:p>
      <w:pPr>
        <w:pStyle w:val="Body"/>
        <w:jc w:val="both"/>
        <w:rPr>
          <w:i w:val="1"/>
          <w:iCs w:val="1"/>
        </w:rPr>
      </w:pPr>
      <w:r>
        <w:rPr>
          <w:i w:val="1"/>
          <w:iCs w:val="1"/>
          <w:rtl w:val="0"/>
          <w:lang w:val="en-US"/>
        </w:rPr>
        <w:t xml:space="preserve">Note: Progression into Phase 4 will be dependent on the outcomes of Phase 2 and will be mutually decided upon between the Endeavour team and CIM. </w:t>
      </w:r>
    </w:p>
    <w:p>
      <w:pPr>
        <w:pStyle w:val="Body"/>
        <w:widowControl w:val="0"/>
        <w:jc w:val="both"/>
        <w:rPr>
          <w:rtl w:val="0"/>
        </w:rPr>
      </w:pPr>
      <w:r>
        <w:rPr>
          <w:rtl w:val="0"/>
          <w:lang w:val="en-US"/>
        </w:rPr>
        <w:t>The final stage of the engagement is Stage 4. Activities in this stage will be guided by the results of our evaluation of CIM</w:t>
      </w:r>
      <w:r>
        <w:rPr>
          <w:rFonts w:hAnsi="Calibri" w:hint="default"/>
          <w:rtl w:val="0"/>
          <w:lang w:val="fr-FR"/>
        </w:rPr>
        <w:t>’</w:t>
      </w:r>
      <w:r>
        <w:rPr>
          <w:rtl w:val="0"/>
          <w:lang w:val="en-US"/>
        </w:rPr>
        <w:t>s existing fundraising model in Stage 3. In this stage, the engagement team will further identify fundraising opportunities based on their ability to contribute to the 5-year strategic plan agreed upon in Stage 2. As per the problem definition, activities will concentrate on the identification of funding opportunities alternative to CIM</w:t>
      </w:r>
      <w:r>
        <w:rPr>
          <w:rFonts w:hAnsi="Calibri" w:hint="default"/>
          <w:rtl w:val="0"/>
          <w:lang w:val="fr-FR"/>
        </w:rPr>
        <w:t>’</w:t>
      </w:r>
      <w:r>
        <w:rPr>
          <w:rtl w:val="0"/>
          <w:lang w:val="en-US"/>
        </w:rPr>
        <w:t>s current reliance on diabetes-sector companies, along with key messaging, a strategy for pursuing these opportunities, and guidelines, or recommendations, for implementing the strategy.</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7110"/>
      </w:tblGrid>
      <w:tr>
        <w:tblPrEx>
          <w:shd w:val="clear" w:color="auto" w:fill="auto"/>
        </w:tblPrEx>
        <w:trPr>
          <w:trHeight w:val="27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pPr>
            <w:r>
              <w:rPr>
                <w:b w:val="1"/>
                <w:bCs w:val="1"/>
                <w:caps w:val="0"/>
                <w:smallCaps w:val="0"/>
                <w:strike w:val="0"/>
                <w:dstrike w:val="0"/>
                <w:outline w:val="0"/>
                <w:color w:val="000000"/>
                <w:spacing w:val="0"/>
                <w:kern w:val="0"/>
                <w:position w:val="0"/>
                <w:sz w:val="20"/>
                <w:szCs w:val="20"/>
                <w:u w:val="none" w:color="000000"/>
                <w:vertAlign w:val="baseline"/>
                <w:rtl w:val="0"/>
                <w:lang w:val="en-US"/>
              </w:rPr>
              <w:t>Objectives</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pPr>
            <w:r>
              <w:rPr>
                <w:b w:val="1"/>
                <w:bCs w:val="1"/>
                <w:caps w:val="0"/>
                <w:smallCaps w:val="0"/>
                <w:strike w:val="0"/>
                <w:dstrike w:val="0"/>
                <w:outline w:val="0"/>
                <w:color w:val="000000"/>
                <w:spacing w:val="0"/>
                <w:kern w:val="0"/>
                <w:position w:val="0"/>
                <w:sz w:val="20"/>
                <w:szCs w:val="20"/>
                <w:u w:val="none" w:color="000000"/>
                <w:vertAlign w:val="baseline"/>
                <w:rtl w:val="0"/>
                <w:lang w:val="en-US"/>
              </w:rPr>
              <w:t>Activities</w:t>
            </w:r>
          </w:p>
        </w:tc>
      </w:tr>
      <w:tr>
        <w:tblPrEx>
          <w:shd w:val="clear" w:color="auto" w:fill="auto"/>
        </w:tblPrEx>
        <w:trPr>
          <w:trHeight w:val="235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widowControl w:val="0"/>
              <w:numPr>
                <w:ilvl w:val="0"/>
                <w:numId w:val="132"/>
              </w:numPr>
              <w:tabs>
                <w:tab w:val="num" w:pos="194"/>
                <w:tab w:val="clear" w:pos="176"/>
              </w:tabs>
              <w:spacing w:after="0" w:line="240" w:lineRule="auto"/>
              <w:ind w:left="194" w:hanging="194"/>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4A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Environmental Scan: To determine the state of charitable giving in Canada and key US target markets, including key areas of opportunity for CIM to leverage</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rPr>
                <w:caps w:val="0"/>
                <w:smallCaps w:val="0"/>
                <w:strike w:val="0"/>
                <w:dstrike w:val="0"/>
                <w:outline w:val="0"/>
                <w:color w:val="000000"/>
                <w:spacing w:val="0"/>
                <w:kern w:val="0"/>
                <w:position w:val="0"/>
                <w:sz w:val="20"/>
                <w:szCs w:val="20"/>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As required (to be determined by the Endeavour team):</w:t>
            </w:r>
          </w:p>
          <w:p>
            <w:pPr>
              <w:pStyle w:val="Body"/>
              <w:widowControl w:val="0"/>
              <w:numPr>
                <w:ilvl w:val="0"/>
                <w:numId w:val="134"/>
              </w:numPr>
              <w:tabs>
                <w:tab w:val="num" w:pos="198"/>
                <w:tab w:val="clear" w:pos="180"/>
              </w:tabs>
              <w:spacing w:after="0" w:line="240" w:lineRule="auto"/>
              <w:ind w:left="198" w:hanging="19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Research/analyze trends in fundraising strategy in Canada and key US target markets.</w:t>
            </w:r>
          </w:p>
          <w:p>
            <w:pPr>
              <w:pStyle w:val="Body"/>
              <w:widowControl w:val="0"/>
              <w:numPr>
                <w:ilvl w:val="0"/>
                <w:numId w:val="135"/>
              </w:numPr>
              <w:tabs>
                <w:tab w:val="num" w:pos="198"/>
                <w:tab w:val="clear" w:pos="180"/>
              </w:tabs>
              <w:spacing w:after="0" w:line="240" w:lineRule="auto"/>
              <w:ind w:left="198" w:hanging="19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Research/analyze trends in corporate giving in Canada and key US target markets.</w:t>
            </w:r>
          </w:p>
          <w:p>
            <w:pPr>
              <w:pStyle w:val="Body"/>
              <w:widowControl w:val="0"/>
              <w:numPr>
                <w:ilvl w:val="0"/>
                <w:numId w:val="136"/>
              </w:numPr>
              <w:tabs>
                <w:tab w:val="num" w:pos="198"/>
                <w:tab w:val="clear" w:pos="180"/>
              </w:tabs>
              <w:spacing w:after="0" w:line="240" w:lineRule="auto"/>
              <w:ind w:left="198" w:hanging="19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Research/analyze trends in foundation giving in Canada and key US target markets.</w:t>
            </w:r>
          </w:p>
          <w:p>
            <w:pPr>
              <w:pStyle w:val="Body"/>
              <w:widowControl w:val="0"/>
              <w:numPr>
                <w:ilvl w:val="0"/>
                <w:numId w:val="137"/>
              </w:numPr>
              <w:tabs>
                <w:tab w:val="num" w:pos="198"/>
                <w:tab w:val="clear" w:pos="180"/>
              </w:tabs>
              <w:spacing w:after="0" w:line="240" w:lineRule="auto"/>
              <w:ind w:left="198" w:hanging="19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Research/analyze trends in government giving in Canada and key US target markets.</w:t>
            </w:r>
          </w:p>
          <w:p>
            <w:pPr>
              <w:pStyle w:val="Body"/>
              <w:widowControl w:val="0"/>
              <w:numPr>
                <w:ilvl w:val="0"/>
                <w:numId w:val="138"/>
              </w:numPr>
              <w:tabs>
                <w:tab w:val="num" w:pos="198"/>
                <w:tab w:val="clear" w:pos="180"/>
              </w:tabs>
              <w:spacing w:after="0" w:line="240" w:lineRule="auto"/>
              <w:ind w:left="198" w:hanging="19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Identify key points of leverage for fundraising (e.g., diabetes days of awareness, sporting events, outdoor recreation events, and other relevant trends).</w:t>
            </w:r>
          </w:p>
        </w:tc>
      </w:tr>
      <w:tr>
        <w:tblPrEx>
          <w:shd w:val="clear" w:color="auto" w:fill="auto"/>
        </w:tblPrEx>
        <w:trPr>
          <w:trHeight w:val="3390" w:hRule="atLeast"/>
        </w:trPr>
        <w:tc>
          <w:tcPr>
            <w:tcW w:type="dxa" w:w="225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widowControl w:val="0"/>
              <w:numPr>
                <w:ilvl w:val="0"/>
                <w:numId w:val="140"/>
              </w:numPr>
              <w:tabs>
                <w:tab w:val="num" w:pos="178"/>
                <w:tab w:val="clear" w:pos="162"/>
              </w:tabs>
              <w:spacing w:after="0" w:line="240" w:lineRule="auto"/>
              <w:ind w:left="178" w:hanging="17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4B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Analysis of Opportunities outside of the Diabetes Corporate Sector: To determine key factors and/or agencies CIM should seek to fundraise from</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spacing w:after="0" w:line="240" w:lineRule="auto"/>
              <w:rPr>
                <w:caps w:val="0"/>
                <w:smallCaps w:val="0"/>
                <w:strike w:val="0"/>
                <w:dstrike w:val="0"/>
                <w:outline w:val="0"/>
                <w:color w:val="000000"/>
                <w:spacing w:val="0"/>
                <w:kern w:val="0"/>
                <w:position w:val="0"/>
                <w:sz w:val="20"/>
                <w:szCs w:val="20"/>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As required (to be determined by the Endeavour team):</w:t>
            </w:r>
          </w:p>
          <w:p>
            <w:pPr>
              <w:pStyle w:val="Body"/>
              <w:widowControl w:val="0"/>
              <w:numPr>
                <w:ilvl w:val="0"/>
                <w:numId w:val="141"/>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 opportunities (in-kind and monetary) in the non-diabetes corporate space, including (but not limited to):</w:t>
            </w:r>
          </w:p>
          <w:p>
            <w:pPr>
              <w:pStyle w:val="Body"/>
              <w:widowControl w:val="0"/>
              <w:numPr>
                <w:ilvl w:val="1"/>
                <w:numId w:val="142"/>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Outdoor apparel and equipment.</w:t>
            </w:r>
          </w:p>
          <w:p>
            <w:pPr>
              <w:pStyle w:val="Body"/>
              <w:widowControl w:val="0"/>
              <w:numPr>
                <w:ilvl w:val="1"/>
                <w:numId w:val="143"/>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Health.</w:t>
            </w:r>
          </w:p>
          <w:p>
            <w:pPr>
              <w:pStyle w:val="Body"/>
              <w:widowControl w:val="0"/>
              <w:numPr>
                <w:ilvl w:val="1"/>
                <w:numId w:val="144"/>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Outdoor/adventure travel.</w:t>
            </w:r>
          </w:p>
          <w:p>
            <w:pPr>
              <w:pStyle w:val="Body"/>
              <w:widowControl w:val="0"/>
              <w:numPr>
                <w:ilvl w:val="0"/>
                <w:numId w:val="145"/>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 opportunities in the foundation granting space.</w:t>
            </w:r>
          </w:p>
          <w:p>
            <w:pPr>
              <w:pStyle w:val="Body"/>
              <w:widowControl w:val="0"/>
              <w:numPr>
                <w:ilvl w:val="0"/>
                <w:numId w:val="146"/>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 opportunities in the government granting space.</w:t>
            </w:r>
          </w:p>
          <w:p>
            <w:pPr>
              <w:pStyle w:val="Body"/>
              <w:widowControl w:val="0"/>
              <w:numPr>
                <w:ilvl w:val="0"/>
                <w:numId w:val="147"/>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Research opportunities for fundraising in other streams, including event-based fundraising, major donors, board fundraising, and individual donors (direct marketing).</w:t>
            </w:r>
          </w:p>
          <w:p>
            <w:pPr>
              <w:pStyle w:val="Body"/>
              <w:widowControl w:val="0"/>
              <w:numPr>
                <w:ilvl w:val="0"/>
                <w:numId w:val="148"/>
              </w:numPr>
              <w:tabs>
                <w:tab w:val="num" w:pos="178"/>
                <w:tab w:val="clear" w:pos="162"/>
              </w:tabs>
              <w:spacing w:after="0" w:line="240" w:lineRule="auto"/>
              <w:ind w:left="178" w:hanging="17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Research demand for the type of data in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CRM (to develop an earned income strategy).</w:t>
            </w:r>
          </w:p>
        </w:tc>
      </w:tr>
      <w:tr>
        <w:tblPrEx>
          <w:shd w:val="clear" w:color="auto" w:fill="auto"/>
        </w:tblPrEx>
        <w:trPr>
          <w:trHeight w:val="790" w:hRule="atLeast"/>
        </w:trPr>
        <w:tc>
          <w:tcPr>
            <w:tcW w:type="dxa" w:w="2250"/>
            <w:vMerge w:val="restart"/>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List Paragraph"/>
              <w:widowControl w:val="0"/>
              <w:numPr>
                <w:ilvl w:val="0"/>
                <w:numId w:val="149"/>
              </w:numPr>
              <w:tabs>
                <w:tab w:val="num" w:pos="178"/>
                <w:tab w:val="clear" w:pos="162"/>
              </w:tabs>
              <w:spacing w:after="0" w:line="240" w:lineRule="auto"/>
              <w:ind w:left="178" w:hanging="17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 xml:space="preserve">Phase 4C </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Strategic Planning: To develop a fundraising strategy to guide the most effective allocation of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resources and it</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realize it</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potential to collect revenue over the next five years in pursuit of its strategic plan.</w:t>
            </w: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50"/>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Based on the Phases A and B of this stage, identify the most profitable, cost effective, and sustainable opportunities that CIM should pursue.</w:t>
            </w:r>
          </w:p>
          <w:p>
            <w:pPr>
              <w:pStyle w:val="Body"/>
              <w:widowControl w:val="0"/>
              <w:numPr>
                <w:ilvl w:val="1"/>
                <w:numId w:val="151"/>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Develop rationale for why these are the best opportunities.</w:t>
            </w:r>
          </w:p>
        </w:tc>
      </w:tr>
      <w:tr>
        <w:tblPrEx>
          <w:shd w:val="clear" w:color="auto" w:fill="auto"/>
        </w:tblPrEx>
        <w:trPr>
          <w:trHeight w:val="287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52"/>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Develop sub-strategies, as relevant, for the following possible fundraising channels. These sub-strategies should include 1, 2, 3, 4 and 5 year targets for some or all of the following:</w:t>
            </w:r>
          </w:p>
          <w:p>
            <w:pPr>
              <w:pStyle w:val="Body"/>
              <w:widowControl w:val="0"/>
              <w:numPr>
                <w:ilvl w:val="1"/>
                <w:numId w:val="153"/>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Corporate sponsorship (diabetes and non-diabetes sector)</w:t>
            </w:r>
          </w:p>
          <w:p>
            <w:pPr>
              <w:pStyle w:val="Body"/>
              <w:widowControl w:val="0"/>
              <w:numPr>
                <w:ilvl w:val="1"/>
                <w:numId w:val="154"/>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Foundation granting/partnerships</w:t>
            </w:r>
          </w:p>
          <w:p>
            <w:pPr>
              <w:pStyle w:val="Body"/>
              <w:widowControl w:val="0"/>
              <w:numPr>
                <w:ilvl w:val="1"/>
                <w:numId w:val="15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Government granting/partnerships</w:t>
            </w:r>
          </w:p>
          <w:p>
            <w:pPr>
              <w:pStyle w:val="Body"/>
              <w:widowControl w:val="0"/>
              <w:numPr>
                <w:ilvl w:val="1"/>
                <w:numId w:val="156"/>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 xml:space="preserve">Major donor giving </w:t>
            </w:r>
          </w:p>
          <w:p>
            <w:pPr>
              <w:pStyle w:val="Body"/>
              <w:widowControl w:val="0"/>
              <w:numPr>
                <w:ilvl w:val="1"/>
                <w:numId w:val="157"/>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Individual donor giving (direct marketing)</w:t>
            </w:r>
          </w:p>
          <w:p>
            <w:pPr>
              <w:pStyle w:val="Body"/>
              <w:widowControl w:val="0"/>
              <w:numPr>
                <w:ilvl w:val="1"/>
                <w:numId w:val="158"/>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Event-based fundraising</w:t>
            </w:r>
          </w:p>
          <w:p>
            <w:pPr>
              <w:pStyle w:val="Body"/>
              <w:widowControl w:val="0"/>
              <w:numPr>
                <w:ilvl w:val="1"/>
                <w:numId w:val="159"/>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Earned income</w:t>
            </w:r>
          </w:p>
          <w:p>
            <w:pPr>
              <w:pStyle w:val="Body"/>
              <w:widowControl w:val="0"/>
              <w:numPr>
                <w:ilvl w:val="1"/>
                <w:numId w:val="160"/>
              </w:numPr>
              <w:tabs>
                <w:tab w:val="num" w:pos="648"/>
                <w:tab w:val="clear" w:pos="612"/>
              </w:tabs>
              <w:spacing w:after="0" w:line="240" w:lineRule="auto"/>
              <w:ind w:left="648" w:hanging="396"/>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Board fundraising</w:t>
            </w:r>
          </w:p>
        </w:tc>
      </w:tr>
      <w:tr>
        <w:tblPrEx>
          <w:shd w:val="clear" w:color="auto" w:fill="auto"/>
        </w:tblPrEx>
        <w:trPr>
          <w:trHeight w:val="287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61"/>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Articulate the overall 5-year strategy, potentially including (to be determined by the Endeavour team):</w:t>
            </w:r>
          </w:p>
          <w:p>
            <w:pPr>
              <w:pStyle w:val="Body"/>
              <w:widowControl w:val="0"/>
              <w:numPr>
                <w:ilvl w:val="1"/>
                <w:numId w:val="162"/>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Marketing plan, including strategic messaging to communicate to potential donors and/or sponsors.</w:t>
            </w:r>
          </w:p>
          <w:p>
            <w:pPr>
              <w:pStyle w:val="Body"/>
              <w:widowControl w:val="0"/>
              <w:numPr>
                <w:ilvl w:val="1"/>
                <w:numId w:val="163"/>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Overall expectations and rationale for the projected increase in CIM</w:t>
            </w:r>
            <w:r>
              <w:rPr>
                <w:rFonts w:hAnsi="Calibri"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fundraising portfolio if the strategy is followed.</w:t>
            </w:r>
          </w:p>
          <w:p>
            <w:pPr>
              <w:pStyle w:val="Body"/>
              <w:widowControl w:val="0"/>
              <w:numPr>
                <w:ilvl w:val="1"/>
                <w:numId w:val="164"/>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Metrics for tracking and evaluating success.</w:t>
            </w:r>
          </w:p>
          <w:p>
            <w:pPr>
              <w:pStyle w:val="Body"/>
              <w:widowControl w:val="0"/>
              <w:numPr>
                <w:ilvl w:val="1"/>
                <w:numId w:val="165"/>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Costs associated with the implementation of the strategy (e.g., implications for staff time and organizational resources).</w:t>
            </w:r>
          </w:p>
          <w:p>
            <w:pPr>
              <w:pStyle w:val="Body"/>
              <w:widowControl w:val="0"/>
              <w:numPr>
                <w:ilvl w:val="1"/>
                <w:numId w:val="166"/>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Identification of any capacity gaps.</w:t>
            </w:r>
          </w:p>
          <w:p>
            <w:pPr>
              <w:pStyle w:val="Body"/>
              <w:widowControl w:val="0"/>
              <w:numPr>
                <w:ilvl w:val="0"/>
                <w:numId w:val="167"/>
              </w:numPr>
              <w:tabs>
                <w:tab w:val="num" w:pos="178"/>
                <w:tab w:val="clear" w:pos="162"/>
              </w:tabs>
              <w:spacing w:after="0" w:line="240" w:lineRule="auto"/>
              <w:ind w:left="178" w:hanging="17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Production of a risk management matrix.</w:t>
            </w:r>
          </w:p>
        </w:tc>
      </w:tr>
      <w:tr>
        <w:tblPrEx>
          <w:shd w:val="clear" w:color="auto" w:fill="auto"/>
        </w:tblPrEx>
        <w:trPr>
          <w:trHeight w:val="2090" w:hRule="atLeast"/>
        </w:trPr>
        <w:tc>
          <w:tcPr>
            <w:tcW w:type="dxa" w:w="2250"/>
            <w:vMerge w:val="continue"/>
            <w:tcBorders>
              <w:top w:val="single" w:color="9cc2e5" w:sz="4" w:space="0" w:shadow="0" w:frame="0"/>
              <w:left w:val="nil"/>
              <w:bottom w:val="single" w:color="9cc2e5" w:sz="4" w:space="0" w:shadow="0" w:frame="0"/>
              <w:right w:val="nil"/>
            </w:tcBorders>
            <w:shd w:val="clear" w:color="auto" w:fill="auto"/>
          </w:tcPr>
          <w:p/>
        </w:tc>
        <w:tc>
          <w:tcPr>
            <w:tcW w:type="dxa" w:w="7110"/>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widowControl w:val="0"/>
              <w:numPr>
                <w:ilvl w:val="0"/>
                <w:numId w:val="168"/>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Develop a set of guidelines or recommendations for the implementation of this strategy alongside the overall strategic plan agreed upon in Stage 2, including:</w:t>
            </w:r>
          </w:p>
          <w:p>
            <w:pPr>
              <w:pStyle w:val="Body"/>
              <w:widowControl w:val="0"/>
              <w:numPr>
                <w:ilvl w:val="1"/>
                <w:numId w:val="169"/>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Best practices.</w:t>
            </w:r>
          </w:p>
          <w:p>
            <w:pPr>
              <w:pStyle w:val="Body"/>
              <w:widowControl w:val="0"/>
              <w:numPr>
                <w:ilvl w:val="1"/>
                <w:numId w:val="170"/>
              </w:numPr>
              <w:tabs>
                <w:tab w:val="num" w:pos="648"/>
                <w:tab w:val="clear" w:pos="612"/>
              </w:tabs>
              <w:spacing w:after="0" w:line="240" w:lineRule="auto"/>
              <w:ind w:left="648" w:hanging="396"/>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Recommended training or capacity building.</w:t>
            </w:r>
          </w:p>
          <w:p>
            <w:pPr>
              <w:pStyle w:val="Body"/>
              <w:widowControl w:val="0"/>
              <w:numPr>
                <w:ilvl w:val="0"/>
                <w:numId w:val="171"/>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Develop draft of the fundraising strategy outcome document.</w:t>
            </w:r>
          </w:p>
          <w:p>
            <w:pPr>
              <w:pStyle w:val="Body"/>
              <w:widowControl w:val="0"/>
              <w:numPr>
                <w:ilvl w:val="0"/>
                <w:numId w:val="172"/>
              </w:numPr>
              <w:tabs>
                <w:tab w:val="num" w:pos="178"/>
                <w:tab w:val="clear" w:pos="162"/>
              </w:tabs>
              <w:spacing w:after="0" w:line="240" w:lineRule="auto"/>
              <w:ind w:left="178" w:hanging="178"/>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0"/>
                <w:szCs w:val="20"/>
                <w:u w:val="none" w:color="000000"/>
                <w:vertAlign w:val="baseline"/>
                <w:rtl w:val="0"/>
                <w:lang w:val="en-US"/>
              </w:rPr>
              <w:t>Consult CIM Executive Director, staff and Board. Receive input and make modifications, as needed.</w:t>
            </w:r>
          </w:p>
          <w:p>
            <w:pPr>
              <w:pStyle w:val="Body"/>
              <w:widowControl w:val="0"/>
              <w:numPr>
                <w:ilvl w:val="0"/>
                <w:numId w:val="173"/>
              </w:numPr>
              <w:tabs>
                <w:tab w:val="num" w:pos="178"/>
                <w:tab w:val="clear" w:pos="162"/>
              </w:tabs>
              <w:spacing w:after="0" w:line="240" w:lineRule="auto"/>
              <w:ind w:left="178" w:hanging="178"/>
              <w:rPr>
                <w:position w:val="0"/>
                <w:sz w:val="22"/>
                <w:szCs w:val="22"/>
              </w:rPr>
            </w:pPr>
            <w:r>
              <w:rPr>
                <w:caps w:val="0"/>
                <w:smallCaps w:val="0"/>
                <w:strike w:val="0"/>
                <w:dstrike w:val="0"/>
                <w:outline w:val="0"/>
                <w:color w:val="000000"/>
                <w:spacing w:val="0"/>
                <w:kern w:val="0"/>
                <w:position w:val="0"/>
                <w:sz w:val="20"/>
                <w:szCs w:val="20"/>
                <w:u w:val="none" w:color="000000"/>
                <w:vertAlign w:val="baseline"/>
                <w:rtl w:val="0"/>
                <w:lang w:val="en-US"/>
              </w:rPr>
              <w:t>Develop the final draft.</w:t>
            </w:r>
          </w:p>
        </w:tc>
      </w:tr>
    </w:tbl>
    <w:p>
      <w:pPr>
        <w:pStyle w:val="Body"/>
        <w:widowControl w:val="0"/>
        <w:spacing w:line="240" w:lineRule="auto"/>
        <w:jc w:val="both"/>
        <w:rPr>
          <w:rtl w:val="0"/>
        </w:rPr>
      </w:pPr>
    </w:p>
    <w:p>
      <w:pPr>
        <w:pStyle w:val="Body"/>
        <w:rPr>
          <w:rtl w:val="0"/>
        </w:rPr>
      </w:pPr>
    </w:p>
    <w:p>
      <w:pPr>
        <w:pStyle w:val="Body"/>
      </w:pPr>
      <w:r>
        <w:rPr>
          <w:rtl w:val="0"/>
        </w:rPr>
        <w:br w:type="page"/>
      </w:r>
    </w:p>
    <w:p>
      <w:pPr>
        <w:pStyle w:val="Body"/>
        <w:rPr>
          <w:rFonts w:ascii="Cambria" w:cs="Cambria" w:hAnsi="Cambria" w:eastAsia="Cambria"/>
          <w:b w:val="1"/>
          <w:bCs w:val="1"/>
          <w:color w:val="365f91"/>
          <w:sz w:val="28"/>
          <w:szCs w:val="28"/>
          <w:u w:color="000000"/>
        </w:rPr>
      </w:pPr>
    </w:p>
    <w:p>
      <w:pPr>
        <w:pStyle w:val="Heading"/>
        <w:numPr>
          <w:ilvl w:val="0"/>
          <w:numId w:val="10"/>
        </w:numPr>
        <w:tabs>
          <w:tab w:val="num" w:pos="720"/>
          <w:tab w:val="clear" w:pos="0"/>
        </w:tabs>
        <w:ind w:left="432" w:firstLine="0"/>
        <w:rPr>
          <w:position w:val="0"/>
          <w:rtl w:val="0"/>
        </w:rPr>
      </w:pPr>
      <w:bookmarkStart w:name="_Toc6" w:id="6"/>
      <w:r>
        <w:rPr>
          <w:rtl w:val="0"/>
          <w:lang w:val="en-US"/>
        </w:rPr>
        <w:t>Project Deliverables</w:t>
      </w:r>
      <w:bookmarkEnd w:id="6"/>
    </w:p>
    <w:p>
      <w:pPr>
        <w:pStyle w:val="Body"/>
        <w:rPr>
          <w:rtl w:val="0"/>
        </w:rPr>
      </w:pPr>
    </w:p>
    <w:p>
      <w:pPr>
        <w:pStyle w:val="Body"/>
        <w:jc w:val="both"/>
        <w:rPr>
          <w:rtl w:val="0"/>
        </w:rPr>
      </w:pPr>
      <w:r>
        <w:rPr>
          <w:rtl w:val="0"/>
          <w:lang w:val="en-US"/>
        </w:rPr>
        <w:t>Based on the information gathered during the analysis phase, the Endeavour Consulting team will provide the following deliverables to Connected in Motion:</w:t>
      </w:r>
    </w:p>
    <w:p>
      <w:pPr>
        <w:pStyle w:val="List Paragraph"/>
        <w:numPr>
          <w:ilvl w:val="0"/>
          <w:numId w:val="176"/>
        </w:numPr>
        <w:tabs>
          <w:tab w:val="num" w:pos="720"/>
          <w:tab w:val="clear" w:pos="0"/>
        </w:tabs>
        <w:ind w:left="720" w:hanging="360"/>
        <w:jc w:val="both"/>
        <w:rPr>
          <w:position w:val="0"/>
          <w:sz w:val="22"/>
          <w:szCs w:val="22"/>
          <w:rtl w:val="0"/>
        </w:rPr>
      </w:pPr>
      <w:r>
        <w:rPr>
          <w:rtl w:val="0"/>
          <w:lang w:val="en-US"/>
        </w:rPr>
        <w:t>A 5-year Strategic Plan for CIM inclusive of the following areas:</w:t>
      </w:r>
    </w:p>
    <w:p>
      <w:pPr>
        <w:pStyle w:val="List Paragraph"/>
        <w:numPr>
          <w:ilvl w:val="1"/>
          <w:numId w:val="179"/>
        </w:numPr>
        <w:tabs>
          <w:tab w:val="num" w:pos="1800"/>
          <w:tab w:val="clear" w:pos="0"/>
        </w:tabs>
        <w:ind w:left="1800" w:hanging="360"/>
        <w:jc w:val="both"/>
        <w:rPr>
          <w:position w:val="0"/>
          <w:rtl w:val="0"/>
        </w:rPr>
      </w:pPr>
      <w:r>
        <w:rPr>
          <w:rtl w:val="0"/>
          <w:lang w:val="en-US"/>
        </w:rPr>
        <w:t>Expansion into new geographic regions</w:t>
      </w:r>
    </w:p>
    <w:p>
      <w:pPr>
        <w:pStyle w:val="List Paragraph"/>
        <w:numPr>
          <w:ilvl w:val="1"/>
          <w:numId w:val="179"/>
        </w:numPr>
        <w:tabs>
          <w:tab w:val="num" w:pos="1800"/>
          <w:tab w:val="clear" w:pos="0"/>
        </w:tabs>
        <w:ind w:left="1800" w:hanging="360"/>
        <w:jc w:val="both"/>
        <w:rPr>
          <w:position w:val="0"/>
          <w:rtl w:val="0"/>
        </w:rPr>
      </w:pPr>
      <w:r>
        <w:rPr>
          <w:rtl w:val="0"/>
          <w:lang w:val="en-US"/>
        </w:rPr>
        <w:t>Required income targets</w:t>
      </w:r>
    </w:p>
    <w:p>
      <w:pPr>
        <w:pStyle w:val="List Paragraph"/>
        <w:numPr>
          <w:ilvl w:val="1"/>
          <w:numId w:val="179"/>
        </w:numPr>
        <w:tabs>
          <w:tab w:val="num" w:pos="1800"/>
          <w:tab w:val="clear" w:pos="0"/>
        </w:tabs>
        <w:ind w:left="1800" w:hanging="360"/>
        <w:jc w:val="both"/>
        <w:rPr>
          <w:position w:val="0"/>
          <w:rtl w:val="0"/>
        </w:rPr>
      </w:pPr>
      <w:r>
        <w:rPr>
          <w:rtl w:val="0"/>
          <w:lang w:val="en-US"/>
        </w:rPr>
        <w:t>Success metrics</w:t>
      </w:r>
    </w:p>
    <w:p>
      <w:pPr>
        <w:pStyle w:val="List Paragraph"/>
        <w:numPr>
          <w:ilvl w:val="0"/>
          <w:numId w:val="182"/>
        </w:numPr>
        <w:tabs>
          <w:tab w:val="num" w:pos="720"/>
          <w:tab w:val="clear" w:pos="0"/>
        </w:tabs>
        <w:ind w:left="720" w:hanging="360"/>
        <w:jc w:val="both"/>
        <w:rPr>
          <w:position w:val="0"/>
          <w:sz w:val="22"/>
          <w:szCs w:val="22"/>
          <w:rtl w:val="0"/>
        </w:rPr>
      </w:pPr>
      <w:r>
        <w:rPr>
          <w:rtl w:val="0"/>
          <w:lang w:val="en-US"/>
        </w:rPr>
        <w:t>(Dependent on progression to Phases 3 and 4) A fundraising strategic document inclusive of the following:</w:t>
      </w:r>
    </w:p>
    <w:p>
      <w:pPr>
        <w:pStyle w:val="List Paragraph"/>
        <w:numPr>
          <w:ilvl w:val="1"/>
          <w:numId w:val="185"/>
        </w:numPr>
        <w:tabs>
          <w:tab w:val="num" w:pos="1800"/>
          <w:tab w:val="clear" w:pos="0"/>
        </w:tabs>
        <w:ind w:left="1800" w:hanging="360"/>
        <w:jc w:val="both"/>
        <w:rPr>
          <w:position w:val="0"/>
          <w:rtl w:val="0"/>
        </w:rPr>
      </w:pPr>
      <w:r>
        <w:rPr>
          <w:rtl w:val="0"/>
          <w:lang w:val="en-US"/>
        </w:rPr>
        <w:t>Analysis of potential revenue streams (current and potential) across fundraising, sponsorship, donors, and government grants</w:t>
      </w:r>
    </w:p>
    <w:p>
      <w:pPr>
        <w:pStyle w:val="List Paragraph"/>
        <w:numPr>
          <w:ilvl w:val="1"/>
          <w:numId w:val="185"/>
        </w:numPr>
        <w:tabs>
          <w:tab w:val="num" w:pos="1800"/>
          <w:tab w:val="clear" w:pos="0"/>
        </w:tabs>
        <w:ind w:left="1800" w:hanging="360"/>
        <w:jc w:val="both"/>
        <w:rPr>
          <w:position w:val="0"/>
          <w:rtl w:val="0"/>
        </w:rPr>
      </w:pPr>
      <w:r>
        <w:rPr>
          <w:rtl w:val="0"/>
          <w:lang w:val="en-US"/>
        </w:rPr>
        <w:t xml:space="preserve">Recommendations on the most effective implementation plan to achieve the required income target </w:t>
      </w:r>
    </w:p>
    <w:p>
      <w:pPr>
        <w:pStyle w:val="List Paragraph"/>
        <w:numPr>
          <w:ilvl w:val="1"/>
          <w:numId w:val="185"/>
        </w:numPr>
        <w:tabs>
          <w:tab w:val="num" w:pos="1800"/>
          <w:tab w:val="clear" w:pos="0"/>
        </w:tabs>
        <w:ind w:left="1800" w:hanging="360"/>
        <w:jc w:val="both"/>
        <w:rPr>
          <w:position w:val="0"/>
          <w:rtl w:val="0"/>
        </w:rPr>
      </w:pPr>
      <w:r>
        <w:rPr>
          <w:rtl w:val="0"/>
          <w:lang w:val="en-US"/>
        </w:rPr>
        <w:t xml:space="preserve">Communications strategy for speaking to potential revenue sources in both the diabetes and non-diabetes space </w:t>
      </w:r>
    </w:p>
    <w:p>
      <w:pPr>
        <w:pStyle w:val="Body"/>
      </w:pPr>
      <w:r>
        <w:rPr>
          <w:b w:val="1"/>
          <w:bCs w:val="1"/>
          <w:rtl w:val="0"/>
        </w:rPr>
        <w:br w:type="page"/>
      </w:r>
    </w:p>
    <w:p>
      <w:pPr>
        <w:pStyle w:val="Body"/>
        <w:rPr>
          <w:b w:val="1"/>
          <w:bCs w:val="1"/>
          <w:rtl w:val="0"/>
        </w:rPr>
      </w:pPr>
    </w:p>
    <w:p>
      <w:pPr>
        <w:pStyle w:val="Heading"/>
        <w:numPr>
          <w:ilvl w:val="0"/>
          <w:numId w:val="10"/>
        </w:numPr>
        <w:tabs>
          <w:tab w:val="num" w:pos="720"/>
          <w:tab w:val="clear" w:pos="0"/>
        </w:tabs>
        <w:ind w:left="432" w:firstLine="0"/>
        <w:jc w:val="both"/>
        <w:rPr>
          <w:position w:val="0"/>
          <w:rtl w:val="0"/>
        </w:rPr>
      </w:pPr>
      <w:bookmarkStart w:name="_Toc7" w:id="7"/>
      <w:r>
        <w:rPr>
          <w:rtl w:val="0"/>
          <w:lang w:val="en-US"/>
        </w:rPr>
        <w:t>Project Scope</w:t>
      </w:r>
      <w:bookmarkEnd w:id="7"/>
    </w:p>
    <w:p>
      <w:pPr>
        <w:pStyle w:val="Body"/>
        <w:jc w:val="both"/>
        <w:rPr>
          <w:rtl w:val="0"/>
        </w:rPr>
      </w:pPr>
    </w:p>
    <w:p>
      <w:pPr>
        <w:pStyle w:val="Heading 2"/>
        <w:numPr>
          <w:ilvl w:val="1"/>
          <w:numId w:val="186"/>
        </w:numPr>
        <w:tabs>
          <w:tab w:val="num" w:pos="720"/>
          <w:tab w:val="clear" w:pos="0"/>
        </w:tabs>
        <w:ind w:left="576" w:firstLine="0"/>
        <w:jc w:val="both"/>
        <w:rPr>
          <w:position w:val="0"/>
          <w:rtl w:val="0"/>
        </w:rPr>
      </w:pPr>
      <w:bookmarkStart w:name="_Toc8" w:id="8"/>
      <w:r>
        <w:rPr>
          <w:rtl w:val="0"/>
          <w:lang w:val="en-US"/>
        </w:rPr>
        <w:t>Items with-in-scope</w:t>
      </w:r>
      <w:bookmarkEnd w:id="8"/>
    </w:p>
    <w:p>
      <w:pPr>
        <w:pStyle w:val="Body"/>
        <w:rPr>
          <w:rtl w:val="0"/>
        </w:rPr>
      </w:pPr>
      <w:r>
        <w:rPr>
          <w:rFonts w:ascii="Calibri" w:cs="Arial Unicode MS" w:hAnsi="Arial Unicode MS" w:eastAsia="Arial Unicode MS"/>
          <w:rtl w:val="0"/>
          <w:lang w:val="en-US"/>
        </w:rPr>
        <w:t>Endeavour will focus solely on the issues within the following scope:</w:t>
      </w:r>
    </w:p>
    <w:p>
      <w:pPr>
        <w:pStyle w:val="List Paragraph"/>
        <w:numPr>
          <w:ilvl w:val="0"/>
          <w:numId w:val="189"/>
        </w:numPr>
        <w:tabs>
          <w:tab w:val="num" w:pos="720"/>
          <w:tab w:val="clear" w:pos="0"/>
        </w:tabs>
        <w:ind w:left="360" w:firstLine="0"/>
        <w:rPr>
          <w:position w:val="0"/>
          <w:sz w:val="22"/>
          <w:szCs w:val="22"/>
          <w:rtl w:val="0"/>
        </w:rPr>
      </w:pPr>
      <w:r>
        <w:rPr>
          <w:rtl w:val="0"/>
          <w:lang w:val="en-US"/>
        </w:rPr>
        <w:t>Long-term sponsorship strategy</w:t>
      </w:r>
    </w:p>
    <w:p>
      <w:pPr>
        <w:pStyle w:val="List Paragraph"/>
        <w:numPr>
          <w:ilvl w:val="0"/>
          <w:numId w:val="190"/>
        </w:numPr>
        <w:tabs>
          <w:tab w:val="num" w:pos="720"/>
          <w:tab w:val="clear" w:pos="0"/>
        </w:tabs>
        <w:ind w:left="360" w:firstLine="0"/>
        <w:rPr>
          <w:position w:val="0"/>
          <w:sz w:val="22"/>
          <w:szCs w:val="22"/>
          <w:rtl w:val="0"/>
        </w:rPr>
      </w:pPr>
      <w:r>
        <w:rPr>
          <w:rtl w:val="0"/>
          <w:lang w:val="en-US"/>
        </w:rPr>
        <w:t>Identification and analysis of revenue sources (current and potential)</w:t>
      </w:r>
    </w:p>
    <w:p>
      <w:pPr>
        <w:pStyle w:val="List Paragraph"/>
        <w:numPr>
          <w:ilvl w:val="0"/>
          <w:numId w:val="191"/>
        </w:numPr>
        <w:tabs>
          <w:tab w:val="num" w:pos="720"/>
          <w:tab w:val="clear" w:pos="0"/>
        </w:tabs>
        <w:ind w:left="360" w:firstLine="0"/>
        <w:rPr>
          <w:position w:val="0"/>
          <w:sz w:val="22"/>
          <w:szCs w:val="22"/>
          <w:rtl w:val="0"/>
        </w:rPr>
      </w:pPr>
      <w:r>
        <w:rPr>
          <w:rtl w:val="0"/>
          <w:lang w:val="en-US"/>
        </w:rPr>
        <w:t>Review of current sponsorship strategy</w:t>
      </w:r>
    </w:p>
    <w:p>
      <w:pPr>
        <w:pStyle w:val="List Paragraph"/>
        <w:numPr>
          <w:ilvl w:val="0"/>
          <w:numId w:val="192"/>
        </w:numPr>
        <w:tabs>
          <w:tab w:val="num" w:pos="720"/>
          <w:tab w:val="clear" w:pos="0"/>
        </w:tabs>
        <w:ind w:left="360" w:firstLine="0"/>
        <w:rPr>
          <w:position w:val="0"/>
          <w:sz w:val="22"/>
          <w:szCs w:val="22"/>
          <w:rtl w:val="0"/>
        </w:rPr>
      </w:pPr>
      <w:r>
        <w:rPr>
          <w:rtl w:val="0"/>
          <w:lang w:val="en-US"/>
        </w:rPr>
        <w:t>Communication strategy for non-Diabetes space</w:t>
      </w:r>
    </w:p>
    <w:p>
      <w:pPr>
        <w:pStyle w:val="List Paragraph"/>
        <w:numPr>
          <w:ilvl w:val="0"/>
          <w:numId w:val="193"/>
        </w:numPr>
        <w:tabs>
          <w:tab w:val="num" w:pos="720"/>
          <w:tab w:val="clear" w:pos="0"/>
        </w:tabs>
        <w:ind w:left="360" w:firstLine="0"/>
        <w:rPr>
          <w:position w:val="0"/>
          <w:sz w:val="22"/>
          <w:szCs w:val="22"/>
          <w:rtl w:val="0"/>
        </w:rPr>
      </w:pPr>
      <w:r>
        <w:rPr>
          <w:rtl w:val="0"/>
          <w:lang w:val="en-US"/>
        </w:rPr>
        <w:t>Success measurement metrics</w:t>
      </w:r>
    </w:p>
    <w:p>
      <w:pPr>
        <w:pStyle w:val="List Paragraph"/>
        <w:numPr>
          <w:ilvl w:val="0"/>
          <w:numId w:val="194"/>
        </w:numPr>
        <w:tabs>
          <w:tab w:val="num" w:pos="720"/>
          <w:tab w:val="clear" w:pos="0"/>
        </w:tabs>
        <w:ind w:left="360" w:firstLine="0"/>
        <w:rPr>
          <w:position w:val="0"/>
          <w:sz w:val="22"/>
          <w:szCs w:val="22"/>
          <w:rtl w:val="0"/>
        </w:rPr>
      </w:pPr>
      <w:r>
        <w:rPr>
          <w:rtl w:val="0"/>
          <w:lang w:val="en-US"/>
        </w:rPr>
        <w:t>Analysis of membership models</w:t>
      </w:r>
    </w:p>
    <w:p>
      <w:pPr>
        <w:pStyle w:val="List Paragraph"/>
        <w:numPr>
          <w:ilvl w:val="0"/>
          <w:numId w:val="195"/>
        </w:numPr>
        <w:tabs>
          <w:tab w:val="num" w:pos="720"/>
          <w:tab w:val="clear" w:pos="0"/>
        </w:tabs>
        <w:ind w:left="360" w:firstLine="0"/>
        <w:rPr>
          <w:position w:val="0"/>
          <w:sz w:val="22"/>
          <w:szCs w:val="22"/>
          <w:rtl w:val="0"/>
        </w:rPr>
      </w:pPr>
      <w:r>
        <w:rPr>
          <w:rtl w:val="0"/>
          <w:lang w:val="en-US"/>
        </w:rPr>
        <w:t>Competitor analysis</w:t>
      </w:r>
    </w:p>
    <w:p>
      <w:pPr>
        <w:pStyle w:val="List Paragraph"/>
        <w:numPr>
          <w:ilvl w:val="0"/>
          <w:numId w:val="196"/>
        </w:numPr>
        <w:tabs>
          <w:tab w:val="num" w:pos="720"/>
          <w:tab w:val="clear" w:pos="0"/>
        </w:tabs>
        <w:ind w:left="360" w:firstLine="0"/>
        <w:rPr>
          <w:position w:val="0"/>
          <w:sz w:val="22"/>
          <w:szCs w:val="22"/>
          <w:rtl w:val="0"/>
        </w:rPr>
      </w:pPr>
      <w:r>
        <w:rPr>
          <w:rtl w:val="0"/>
          <w:lang w:val="en-US"/>
        </w:rPr>
        <w:t>High-level fundraising implementation recommendations</w:t>
      </w:r>
    </w:p>
    <w:p>
      <w:pPr>
        <w:pStyle w:val="List Paragraph"/>
        <w:numPr>
          <w:ilvl w:val="0"/>
          <w:numId w:val="197"/>
        </w:numPr>
        <w:tabs>
          <w:tab w:val="num" w:pos="720"/>
          <w:tab w:val="clear" w:pos="0"/>
        </w:tabs>
        <w:ind w:left="360" w:firstLine="0"/>
        <w:rPr>
          <w:position w:val="0"/>
          <w:sz w:val="22"/>
          <w:szCs w:val="22"/>
          <w:rtl w:val="0"/>
        </w:rPr>
      </w:pPr>
      <w:r>
        <w:rPr>
          <w:rtl w:val="0"/>
          <w:lang w:val="en-US"/>
        </w:rPr>
        <w:t>Expansion plans into new geographic areas</w:t>
      </w:r>
    </w:p>
    <w:p>
      <w:pPr>
        <w:pStyle w:val="List Paragraph"/>
        <w:ind w:left="360" w:firstLine="0"/>
        <w:rPr>
          <w:rtl w:val="0"/>
        </w:rPr>
      </w:pPr>
    </w:p>
    <w:p>
      <w:pPr>
        <w:pStyle w:val="Heading 2"/>
        <w:numPr>
          <w:ilvl w:val="1"/>
          <w:numId w:val="186"/>
        </w:numPr>
        <w:tabs>
          <w:tab w:val="num" w:pos="720"/>
          <w:tab w:val="clear" w:pos="0"/>
        </w:tabs>
        <w:ind w:left="576" w:firstLine="0"/>
        <w:jc w:val="both"/>
        <w:rPr>
          <w:position w:val="0"/>
          <w:rtl w:val="0"/>
        </w:rPr>
      </w:pPr>
      <w:bookmarkStart w:name="_Toc9" w:id="9"/>
      <w:r>
        <w:rPr>
          <w:rtl w:val="0"/>
          <w:lang w:val="en-US"/>
        </w:rPr>
        <w:t>Items out-of-scope</w:t>
      </w:r>
      <w:bookmarkEnd w:id="9"/>
    </w:p>
    <w:p>
      <w:pPr>
        <w:pStyle w:val="Body"/>
        <w:jc w:val="both"/>
        <w:rPr>
          <w:rtl w:val="0"/>
        </w:rPr>
      </w:pPr>
      <w:r>
        <w:rPr>
          <w:rtl w:val="0"/>
          <w:lang w:val="en-US"/>
        </w:rPr>
        <w:t>Due to the nature of the engagement and the number of volunteer hours available, the scope of the project will exclude the following. Items in this list will not be analyzed on a standalone basis, but may be touched upon if directly relevant to the project objectives:</w:t>
      </w:r>
    </w:p>
    <w:p>
      <w:pPr>
        <w:pStyle w:val="List Paragraph"/>
        <w:numPr>
          <w:ilvl w:val="0"/>
          <w:numId w:val="200"/>
        </w:numPr>
        <w:tabs>
          <w:tab w:val="num" w:pos="720"/>
          <w:tab w:val="clear" w:pos="0"/>
        </w:tabs>
        <w:ind w:left="720" w:hanging="360"/>
        <w:jc w:val="both"/>
        <w:rPr>
          <w:position w:val="0"/>
          <w:sz w:val="22"/>
          <w:szCs w:val="22"/>
          <w:rtl w:val="0"/>
        </w:rPr>
      </w:pPr>
      <w:r>
        <w:rPr>
          <w:rtl w:val="0"/>
          <w:lang w:val="en-US"/>
        </w:rPr>
        <w:t>Financial efficiency analysis</w:t>
      </w:r>
    </w:p>
    <w:p>
      <w:pPr>
        <w:pStyle w:val="List Paragraph"/>
        <w:numPr>
          <w:ilvl w:val="0"/>
          <w:numId w:val="201"/>
        </w:numPr>
        <w:tabs>
          <w:tab w:val="num" w:pos="720"/>
          <w:tab w:val="clear" w:pos="0"/>
        </w:tabs>
        <w:ind w:left="720" w:hanging="360"/>
        <w:jc w:val="both"/>
        <w:rPr>
          <w:position w:val="0"/>
          <w:sz w:val="22"/>
          <w:szCs w:val="22"/>
          <w:rtl w:val="0"/>
        </w:rPr>
      </w:pPr>
      <w:r>
        <w:rPr>
          <w:rtl w:val="0"/>
          <w:lang w:val="en-US"/>
        </w:rPr>
        <w:t>Analysis of CRM database</w:t>
      </w:r>
    </w:p>
    <w:p>
      <w:pPr>
        <w:pStyle w:val="List Paragraph"/>
        <w:numPr>
          <w:ilvl w:val="0"/>
          <w:numId w:val="202"/>
        </w:numPr>
        <w:tabs>
          <w:tab w:val="num" w:pos="720"/>
          <w:tab w:val="clear" w:pos="0"/>
        </w:tabs>
        <w:ind w:left="720" w:hanging="360"/>
        <w:jc w:val="both"/>
        <w:rPr>
          <w:position w:val="0"/>
          <w:sz w:val="22"/>
          <w:szCs w:val="22"/>
          <w:rtl w:val="0"/>
        </w:rPr>
      </w:pPr>
      <w:r>
        <w:rPr>
          <w:rtl w:val="0"/>
          <w:lang w:val="en-US"/>
        </w:rPr>
        <w:t>Evaluating new product offerings</w:t>
      </w:r>
    </w:p>
    <w:p>
      <w:pPr>
        <w:pStyle w:val="List Paragraph"/>
        <w:numPr>
          <w:ilvl w:val="0"/>
          <w:numId w:val="203"/>
        </w:numPr>
        <w:tabs>
          <w:tab w:val="num" w:pos="720"/>
          <w:tab w:val="clear" w:pos="0"/>
        </w:tabs>
        <w:ind w:left="720" w:hanging="360"/>
        <w:jc w:val="both"/>
        <w:rPr>
          <w:position w:val="0"/>
          <w:sz w:val="22"/>
          <w:szCs w:val="22"/>
          <w:rtl w:val="0"/>
        </w:rPr>
      </w:pPr>
      <w:r>
        <w:rPr>
          <w:rtl w:val="0"/>
          <w:lang w:val="en-US"/>
        </w:rPr>
        <w:t>Specific fundraising implementation details</w:t>
      </w:r>
    </w:p>
    <w:p>
      <w:pPr>
        <w:pStyle w:val="List Paragraph"/>
        <w:numPr>
          <w:ilvl w:val="0"/>
          <w:numId w:val="204"/>
        </w:numPr>
        <w:tabs>
          <w:tab w:val="num" w:pos="720"/>
          <w:tab w:val="clear" w:pos="0"/>
        </w:tabs>
        <w:ind w:left="720" w:hanging="360"/>
        <w:jc w:val="both"/>
        <w:rPr>
          <w:position w:val="0"/>
          <w:sz w:val="22"/>
          <w:szCs w:val="22"/>
          <w:rtl w:val="0"/>
        </w:rPr>
      </w:pPr>
      <w:r>
        <w:rPr>
          <w:rtl w:val="0"/>
          <w:lang w:val="en-US"/>
        </w:rPr>
        <w:t>Organizational and human resource strategy</w:t>
      </w:r>
    </w:p>
    <w:p>
      <w:pPr>
        <w:pStyle w:val="List Paragraph"/>
        <w:numPr>
          <w:ilvl w:val="0"/>
          <w:numId w:val="205"/>
        </w:numPr>
        <w:tabs>
          <w:tab w:val="num" w:pos="720"/>
          <w:tab w:val="clear" w:pos="0"/>
        </w:tabs>
        <w:ind w:left="720" w:hanging="360"/>
        <w:jc w:val="both"/>
        <w:rPr>
          <w:position w:val="0"/>
          <w:sz w:val="22"/>
          <w:szCs w:val="22"/>
          <w:rtl w:val="0"/>
        </w:rPr>
      </w:pPr>
      <w:r>
        <w:rPr>
          <w:rtl w:val="0"/>
          <w:lang w:val="en-US"/>
        </w:rPr>
        <w:t>Resourcing and recruitment</w:t>
      </w:r>
    </w:p>
    <w:p>
      <w:pPr>
        <w:pStyle w:val="List Paragraph"/>
        <w:numPr>
          <w:ilvl w:val="0"/>
          <w:numId w:val="206"/>
        </w:numPr>
        <w:tabs>
          <w:tab w:val="num" w:pos="720"/>
          <w:tab w:val="clear" w:pos="0"/>
        </w:tabs>
        <w:ind w:left="720" w:hanging="360"/>
        <w:jc w:val="both"/>
        <w:rPr>
          <w:position w:val="0"/>
          <w:sz w:val="22"/>
          <w:szCs w:val="22"/>
          <w:rtl w:val="0"/>
        </w:rPr>
      </w:pPr>
      <w:r>
        <w:rPr>
          <w:rtl w:val="0"/>
          <w:lang w:val="en-US"/>
        </w:rPr>
        <w:t>Design of creative marketing collateral</w:t>
      </w:r>
    </w:p>
    <w:p>
      <w:pPr>
        <w:pStyle w:val="List Paragraph"/>
        <w:numPr>
          <w:ilvl w:val="0"/>
          <w:numId w:val="207"/>
        </w:numPr>
        <w:tabs>
          <w:tab w:val="num" w:pos="720"/>
          <w:tab w:val="clear" w:pos="0"/>
        </w:tabs>
        <w:ind w:left="720" w:hanging="360"/>
        <w:jc w:val="both"/>
        <w:rPr>
          <w:position w:val="0"/>
          <w:sz w:val="22"/>
          <w:szCs w:val="22"/>
          <w:rtl w:val="0"/>
        </w:rPr>
      </w:pPr>
      <w:r>
        <w:rPr>
          <w:rtl w:val="0"/>
          <w:lang w:val="en-US"/>
        </w:rPr>
        <w:t>Analysis of board members roles</w:t>
      </w:r>
    </w:p>
    <w:p>
      <w:pPr>
        <w:pStyle w:val="List Paragraph"/>
        <w:jc w:val="both"/>
        <w:rPr>
          <w:rtl w:val="0"/>
        </w:rPr>
      </w:pPr>
    </w:p>
    <w:p>
      <w:pPr>
        <w:pStyle w:val="Heading 2"/>
        <w:numPr>
          <w:ilvl w:val="1"/>
          <w:numId w:val="186"/>
        </w:numPr>
        <w:tabs>
          <w:tab w:val="num" w:pos="720"/>
          <w:tab w:val="clear" w:pos="0"/>
        </w:tabs>
        <w:ind w:left="576" w:firstLine="0"/>
        <w:jc w:val="both"/>
        <w:rPr>
          <w:position w:val="0"/>
          <w:rtl w:val="0"/>
        </w:rPr>
      </w:pPr>
      <w:bookmarkStart w:name="_Toc10" w:id="10"/>
      <w:r>
        <w:rPr>
          <w:rtl w:val="0"/>
          <w:lang w:val="en-US"/>
        </w:rPr>
        <w:t>Assumptions and Constraints</w:t>
      </w:r>
      <w:bookmarkEnd w:id="10"/>
    </w:p>
    <w:p>
      <w:pPr>
        <w:pStyle w:val="Body"/>
        <w:jc w:val="both"/>
        <w:rPr>
          <w:rtl w:val="0"/>
        </w:rPr>
      </w:pPr>
      <w:r>
        <w:rPr>
          <w:rFonts w:ascii="Times New Roman"/>
          <w:sz w:val="14"/>
          <w:szCs w:val="14"/>
          <w:rtl w:val="0"/>
        </w:rPr>
        <w:t xml:space="preserve"> </w:t>
      </w:r>
      <w:r>
        <w:rPr>
          <w:rtl w:val="0"/>
          <w:lang w:val="en-US"/>
        </w:rPr>
        <w:t>The following assumptions were made in preparing the Project Plan and Deliverables:</w:t>
      </w:r>
    </w:p>
    <w:p>
      <w:pPr>
        <w:pStyle w:val="Body"/>
        <w:numPr>
          <w:ilvl w:val="0"/>
          <w:numId w:val="210"/>
        </w:numPr>
        <w:tabs>
          <w:tab w:val="num" w:pos="720"/>
          <w:tab w:val="clear" w:pos="0"/>
        </w:tabs>
        <w:ind w:left="720" w:hanging="359"/>
        <w:jc w:val="both"/>
        <w:rPr>
          <w:position w:val="0"/>
          <w:sz w:val="22"/>
          <w:szCs w:val="22"/>
          <w:rtl w:val="0"/>
        </w:rPr>
      </w:pPr>
      <w:r>
        <w:rPr>
          <w:rtl w:val="0"/>
          <w:lang w:val="en-US"/>
        </w:rPr>
        <w:t>Time for meetings and interviews will be coordinated in advance, in order to meet different schedules of volunteers</w:t>
      </w:r>
    </w:p>
    <w:p>
      <w:pPr>
        <w:pStyle w:val="Body"/>
        <w:numPr>
          <w:ilvl w:val="0"/>
          <w:numId w:val="211"/>
        </w:numPr>
        <w:tabs>
          <w:tab w:val="num" w:pos="720"/>
          <w:tab w:val="clear" w:pos="0"/>
        </w:tabs>
        <w:ind w:left="720" w:hanging="359"/>
        <w:jc w:val="both"/>
        <w:rPr>
          <w:position w:val="0"/>
          <w:sz w:val="22"/>
          <w:szCs w:val="22"/>
          <w:rtl w:val="0"/>
        </w:rPr>
      </w:pPr>
      <w:r>
        <w:rPr>
          <w:rtl w:val="0"/>
          <w:lang w:val="en-US"/>
        </w:rPr>
        <w:t>The client will grant and provide access to the Endeavour team, including but not limited to, financial reports, development plans, publications, program guides, participants</w:t>
      </w:r>
      <w:r>
        <w:rPr>
          <w:rFonts w:hAnsi="Calibri" w:hint="default"/>
          <w:rtl w:val="0"/>
          <w:lang w:val="fr-FR"/>
        </w:rPr>
        <w:t xml:space="preserve">’ </w:t>
      </w:r>
      <w:r>
        <w:rPr>
          <w:rtl w:val="0"/>
          <w:lang w:val="en-US"/>
        </w:rPr>
        <w:t>feedback and participant surveys</w:t>
      </w:r>
    </w:p>
    <w:p>
      <w:pPr>
        <w:pStyle w:val="Body"/>
        <w:numPr>
          <w:ilvl w:val="0"/>
          <w:numId w:val="212"/>
        </w:numPr>
        <w:tabs>
          <w:tab w:val="num" w:pos="720"/>
          <w:tab w:val="clear" w:pos="0"/>
        </w:tabs>
        <w:ind w:left="720" w:hanging="359"/>
        <w:jc w:val="both"/>
        <w:rPr>
          <w:position w:val="0"/>
          <w:sz w:val="22"/>
          <w:szCs w:val="22"/>
          <w:rtl w:val="0"/>
        </w:rPr>
      </w:pPr>
      <w:r>
        <w:rPr>
          <w:rtl w:val="0"/>
          <w:lang w:val="en-US"/>
        </w:rPr>
        <w:t>The client will provide external stakeholder contact information to the best of their ability</w:t>
      </w:r>
    </w:p>
    <w:p>
      <w:pPr>
        <w:pStyle w:val="Body"/>
        <w:numPr>
          <w:ilvl w:val="0"/>
          <w:numId w:val="213"/>
        </w:numPr>
        <w:tabs>
          <w:tab w:val="num" w:pos="720"/>
          <w:tab w:val="clear" w:pos="0"/>
        </w:tabs>
        <w:ind w:left="720" w:hanging="359"/>
        <w:jc w:val="both"/>
        <w:rPr>
          <w:position w:val="0"/>
          <w:sz w:val="22"/>
          <w:szCs w:val="22"/>
          <w:rtl w:val="0"/>
        </w:rPr>
      </w:pPr>
      <w:r>
        <w:rPr>
          <w:rtl w:val="0"/>
          <w:lang w:val="en-US"/>
        </w:rPr>
        <w:t>The Endeavour team will adhere to dates identified in the timeline. If unforeseen circumstances arise, and timelines and deliverables are affected, the team will immediately communicate problems with the client</w:t>
      </w:r>
    </w:p>
    <w:p>
      <w:pPr>
        <w:pStyle w:val="Body"/>
        <w:numPr>
          <w:ilvl w:val="0"/>
          <w:numId w:val="214"/>
        </w:numPr>
        <w:tabs>
          <w:tab w:val="num" w:pos="720"/>
          <w:tab w:val="clear" w:pos="0"/>
        </w:tabs>
        <w:ind w:left="720" w:hanging="359"/>
        <w:jc w:val="both"/>
        <w:rPr>
          <w:position w:val="0"/>
          <w:sz w:val="22"/>
          <w:szCs w:val="22"/>
          <w:rtl w:val="0"/>
        </w:rPr>
      </w:pPr>
      <w:r>
        <w:rPr>
          <w:rtl w:val="0"/>
          <w:lang w:val="en-US"/>
        </w:rPr>
        <w:t>The consulting team is committed to contributing 5-8 hour per week on a per member basis for the duration of the engagement</w:t>
      </w:r>
    </w:p>
    <w:p>
      <w:pPr>
        <w:pStyle w:val="Body"/>
        <w:numPr>
          <w:ilvl w:val="0"/>
          <w:numId w:val="215"/>
        </w:numPr>
        <w:tabs>
          <w:tab w:val="num" w:pos="720"/>
          <w:tab w:val="clear" w:pos="0"/>
        </w:tabs>
        <w:ind w:left="720" w:hanging="359"/>
        <w:jc w:val="both"/>
        <w:rPr>
          <w:position w:val="0"/>
          <w:sz w:val="22"/>
          <w:szCs w:val="22"/>
          <w:rtl w:val="0"/>
        </w:rPr>
      </w:pPr>
      <w:r>
        <w:rPr>
          <w:rtl w:val="0"/>
          <w:lang w:val="en-US"/>
        </w:rPr>
        <w:t>The client will continue to maintain its operations (going concern)</w:t>
      </w:r>
    </w:p>
    <w:p>
      <w:pPr>
        <w:pStyle w:val="Body"/>
        <w:numPr>
          <w:ilvl w:val="0"/>
          <w:numId w:val="216"/>
        </w:numPr>
        <w:tabs>
          <w:tab w:val="num" w:pos="720"/>
          <w:tab w:val="clear" w:pos="0"/>
        </w:tabs>
        <w:ind w:left="720" w:hanging="359"/>
        <w:jc w:val="both"/>
        <w:rPr>
          <w:position w:val="0"/>
          <w:sz w:val="22"/>
          <w:szCs w:val="22"/>
          <w:rtl w:val="0"/>
        </w:rPr>
      </w:pPr>
      <w:r>
        <w:rPr>
          <w:rtl w:val="0"/>
          <w:lang w:val="en-US"/>
        </w:rPr>
        <w:t xml:space="preserve">The client adheres to a project management approach, meeting milestones and delivering materials at committed timelines </w:t>
      </w:r>
    </w:p>
    <w:p>
      <w:pPr>
        <w:pStyle w:val="Body"/>
        <w:numPr>
          <w:ilvl w:val="0"/>
          <w:numId w:val="217"/>
        </w:numPr>
        <w:tabs>
          <w:tab w:val="num" w:pos="720"/>
          <w:tab w:val="clear" w:pos="0"/>
        </w:tabs>
        <w:ind w:left="720" w:hanging="359"/>
        <w:jc w:val="both"/>
        <w:rPr>
          <w:position w:val="0"/>
          <w:sz w:val="22"/>
          <w:szCs w:val="22"/>
          <w:rtl w:val="0"/>
        </w:rPr>
      </w:pPr>
      <w:r>
        <w:rPr>
          <w:rtl w:val="0"/>
          <w:lang w:val="en-US"/>
        </w:rPr>
        <w:t>The client will answer all questions asked by the Endeavour team to the best of their abilities</w:t>
      </w:r>
    </w:p>
    <w:p>
      <w:pPr>
        <w:pStyle w:val="Body"/>
        <w:numPr>
          <w:ilvl w:val="0"/>
          <w:numId w:val="218"/>
        </w:numPr>
        <w:tabs>
          <w:tab w:val="num" w:pos="720"/>
          <w:tab w:val="clear" w:pos="0"/>
        </w:tabs>
        <w:ind w:left="720" w:hanging="359"/>
        <w:jc w:val="both"/>
        <w:rPr>
          <w:position w:val="0"/>
          <w:sz w:val="22"/>
          <w:szCs w:val="22"/>
          <w:rtl w:val="0"/>
        </w:rPr>
      </w:pPr>
      <w:r>
        <w:rPr>
          <w:rtl w:val="0"/>
          <w:lang w:val="en-US"/>
        </w:rPr>
        <w:t>Stakeholder participation to facilitate primary research</w:t>
      </w:r>
    </w:p>
    <w:p>
      <w:pPr>
        <w:pStyle w:val="Body"/>
        <w:numPr>
          <w:ilvl w:val="0"/>
          <w:numId w:val="219"/>
        </w:numPr>
        <w:tabs>
          <w:tab w:val="num" w:pos="720"/>
          <w:tab w:val="clear" w:pos="0"/>
        </w:tabs>
        <w:ind w:left="720" w:hanging="359"/>
        <w:jc w:val="both"/>
        <w:rPr>
          <w:position w:val="0"/>
          <w:sz w:val="22"/>
          <w:szCs w:val="22"/>
          <w:rtl w:val="0"/>
        </w:rPr>
      </w:pPr>
      <w:r>
        <w:rPr>
          <w:rtl w:val="0"/>
          <w:lang w:val="en-US"/>
        </w:rPr>
        <w:t>Formal and informal feedback mechanisms are in place to allow for frequent revisions and project improvements</w:t>
      </w:r>
    </w:p>
    <w:p>
      <w:pPr>
        <w:pStyle w:val="Body"/>
        <w:ind w:left="1440" w:firstLine="0"/>
        <w:jc w:val="both"/>
        <w:rPr>
          <w:rtl w:val="0"/>
        </w:rPr>
      </w:pPr>
      <w:r>
        <w:rPr>
          <w:rtl w:val="0"/>
        </w:rPr>
        <w:t xml:space="preserve"> </w:t>
      </w:r>
    </w:p>
    <w:p>
      <w:pPr>
        <w:pStyle w:val="Body"/>
        <w:jc w:val="both"/>
        <w:rPr>
          <w:rtl w:val="0"/>
        </w:rPr>
      </w:pPr>
      <w:r>
        <w:rPr>
          <w:rtl w:val="0"/>
          <w:lang w:val="en-US"/>
        </w:rPr>
        <w:t>The following constraints have been identified and reviewed by the Endeavour team as well as communicated with the client:</w:t>
      </w:r>
    </w:p>
    <w:p>
      <w:pPr>
        <w:pStyle w:val="Body"/>
        <w:numPr>
          <w:ilvl w:val="0"/>
          <w:numId w:val="222"/>
        </w:numPr>
        <w:tabs>
          <w:tab w:val="num" w:pos="720"/>
          <w:tab w:val="clear" w:pos="0"/>
        </w:tabs>
        <w:ind w:left="720" w:hanging="359"/>
        <w:jc w:val="both"/>
        <w:rPr>
          <w:position w:val="0"/>
          <w:sz w:val="22"/>
          <w:szCs w:val="22"/>
          <w:rtl w:val="0"/>
        </w:rPr>
      </w:pPr>
      <w:r>
        <w:rPr>
          <w:rtl w:val="0"/>
          <w:lang w:val="en-US"/>
        </w:rPr>
        <w:t>There is no budget available for paid private research papers and informational databases</w:t>
      </w:r>
    </w:p>
    <w:p>
      <w:pPr>
        <w:pStyle w:val="Body"/>
        <w:numPr>
          <w:ilvl w:val="0"/>
          <w:numId w:val="223"/>
        </w:numPr>
        <w:tabs>
          <w:tab w:val="num" w:pos="720"/>
          <w:tab w:val="clear" w:pos="0"/>
        </w:tabs>
        <w:ind w:left="720" w:hanging="359"/>
        <w:jc w:val="both"/>
        <w:rPr>
          <w:position w:val="0"/>
          <w:sz w:val="22"/>
          <w:szCs w:val="22"/>
          <w:rtl w:val="0"/>
        </w:rPr>
      </w:pPr>
      <w:r>
        <w:rPr>
          <w:rtl w:val="0"/>
          <w:lang w:val="en-US"/>
        </w:rPr>
        <w:t>The client may have limited resources for implementation; the team will consider these limitations in formulating its recommendations to the client.</w:t>
      </w:r>
    </w:p>
    <w:p>
      <w:pPr>
        <w:pStyle w:val="Body"/>
        <w:numPr>
          <w:ilvl w:val="0"/>
          <w:numId w:val="224"/>
        </w:numPr>
        <w:tabs>
          <w:tab w:val="num" w:pos="720"/>
          <w:tab w:val="clear" w:pos="0"/>
        </w:tabs>
        <w:ind w:left="720" w:hanging="359"/>
        <w:jc w:val="both"/>
        <w:rPr>
          <w:position w:val="0"/>
          <w:sz w:val="22"/>
          <w:szCs w:val="22"/>
          <w:rtl w:val="0"/>
        </w:rPr>
      </w:pPr>
      <w:r>
        <w:rPr>
          <w:rtl w:val="0"/>
          <w:lang w:val="en-US"/>
        </w:rPr>
        <w:t xml:space="preserve">Any unexpected occurrences may lead to reduced commitments by either the client or the team member(s). </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11" w:id="11"/>
      <w:r>
        <w:rPr>
          <w:rtl w:val="0"/>
          <w:lang w:val="en-US"/>
        </w:rPr>
        <w:t>Project Schedule</w:t>
      </w:r>
      <w:bookmarkEnd w:id="11"/>
    </w:p>
    <w:p>
      <w:pPr>
        <w:pStyle w:val="Body"/>
        <w:jc w:val="both"/>
        <w:rPr>
          <w:rtl w:val="0"/>
        </w:rPr>
      </w:pPr>
      <w:r>
        <w:rPr>
          <w:rtl w:val="0"/>
        </w:rPr>
        <w:drawing>
          <wp:inline distT="0" distB="0" distL="0" distR="0">
            <wp:extent cx="5901070" cy="397615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pic:nvPicPr>
                  <pic:blipFill>
                    <a:blip r:embed="rId5">
                      <a:extLst/>
                    </a:blip>
                    <a:stretch>
                      <a:fillRect/>
                    </a:stretch>
                  </pic:blipFill>
                  <pic:spPr>
                    <a:xfrm>
                      <a:off x="0" y="0"/>
                      <a:ext cx="5901070" cy="3976154"/>
                    </a:xfrm>
                    <a:prstGeom prst="rect">
                      <a:avLst/>
                    </a:prstGeom>
                    <a:ln w="12700" cap="flat">
                      <a:noFill/>
                      <a:miter lim="400000"/>
                    </a:ln>
                    <a:effectLst/>
                  </pic:spPr>
                </pic:pic>
              </a:graphicData>
            </a:graphic>
          </wp:inline>
        </w:drawing>
      </w:r>
    </w:p>
    <w:p>
      <w:pPr>
        <w:pStyle w:val="Body"/>
        <w:jc w:val="both"/>
        <w:rPr>
          <w:rtl w:val="0"/>
        </w:rPr>
      </w:pPr>
    </w:p>
    <w:p>
      <w:pPr>
        <w:pStyle w:val="Body"/>
      </w:pPr>
      <w:r>
        <w:rPr>
          <w:rtl w:val="0"/>
        </w:rPr>
        <w:br w:type="page"/>
      </w:r>
    </w:p>
    <w:p>
      <w:pPr>
        <w:pStyle w:val="Body"/>
        <w:rPr>
          <w:rtl w:val="0"/>
        </w:rPr>
      </w:pPr>
    </w:p>
    <w:p>
      <w:pPr>
        <w:pStyle w:val="Body"/>
        <w:jc w:val="both"/>
        <w:rPr>
          <w:rtl w:val="0"/>
        </w:rPr>
      </w:pPr>
    </w:p>
    <w:p>
      <w:pPr>
        <w:pStyle w:val="Heading"/>
        <w:numPr>
          <w:ilvl w:val="0"/>
          <w:numId w:val="10"/>
        </w:numPr>
        <w:tabs>
          <w:tab w:val="num" w:pos="720"/>
          <w:tab w:val="clear" w:pos="0"/>
        </w:tabs>
        <w:ind w:left="432" w:firstLine="0"/>
        <w:jc w:val="both"/>
        <w:rPr>
          <w:position w:val="0"/>
          <w:rtl w:val="0"/>
        </w:rPr>
      </w:pPr>
      <w:bookmarkStart w:name="_Toc12" w:id="12"/>
      <w:r>
        <w:rPr>
          <w:rtl w:val="0"/>
          <w:lang w:val="fr-FR"/>
        </w:rPr>
        <w:t>Communications Plan</w:t>
      </w:r>
      <w:bookmarkEnd w:id="12"/>
    </w:p>
    <w:p>
      <w:pPr>
        <w:pStyle w:val="Body"/>
        <w:rPr>
          <w:rtl w:val="0"/>
        </w:rPr>
      </w:pPr>
      <w:r>
        <w:rPr>
          <w:rFonts w:ascii="Calibri" w:cs="Arial Unicode MS" w:hAnsi="Arial Unicode MS" w:eastAsia="Arial Unicode MS"/>
          <w:rtl w:val="0"/>
          <w:lang w:val="en-US"/>
        </w:rPr>
        <w:t>Communications between the EVCN consulting team and Connected In Motion will take place based on the following protocol:</w:t>
      </w:r>
    </w:p>
    <w:p>
      <w:pPr>
        <w:pStyle w:val="List Paragraph"/>
        <w:numPr>
          <w:ilvl w:val="0"/>
          <w:numId w:val="227"/>
        </w:numPr>
        <w:tabs>
          <w:tab w:val="num" w:pos="720"/>
          <w:tab w:val="clear" w:pos="0"/>
        </w:tabs>
        <w:ind w:left="720" w:hanging="360"/>
        <w:rPr>
          <w:position w:val="0"/>
          <w:sz w:val="22"/>
          <w:szCs w:val="22"/>
          <w:rtl w:val="0"/>
        </w:rPr>
      </w:pPr>
      <w:r>
        <w:rPr>
          <w:b w:val="1"/>
          <w:bCs w:val="1"/>
          <w:rtl w:val="0"/>
          <w:lang w:val="en-US"/>
        </w:rPr>
        <w:t>Full-scale client meetings</w:t>
      </w:r>
      <w:r>
        <w:rPr>
          <w:rtl w:val="0"/>
          <w:lang w:val="en-US"/>
        </w:rPr>
        <w:t>: The team will plan to have at least two (2) full-scale client meetings involving multiple members of the CIM exec / board for the purposes of presenting Interim results/report and the Final Recommendations. These meetings will utilize in-person and conference calling for individuals outside of Toronto, to allow the Endeavour team to provide detailed updates on status, interim deliverables, and ask outstanding questions that require a group-wide consensus response.</w:t>
      </w:r>
    </w:p>
    <w:p>
      <w:pPr>
        <w:pStyle w:val="List Paragraph"/>
        <w:numPr>
          <w:ilvl w:val="0"/>
          <w:numId w:val="228"/>
        </w:numPr>
        <w:tabs>
          <w:tab w:val="num" w:pos="720"/>
          <w:tab w:val="clear" w:pos="0"/>
        </w:tabs>
        <w:ind w:left="720" w:hanging="360"/>
        <w:rPr>
          <w:position w:val="0"/>
          <w:sz w:val="22"/>
          <w:szCs w:val="22"/>
          <w:rtl w:val="0"/>
        </w:rPr>
      </w:pPr>
      <w:r>
        <w:rPr>
          <w:b w:val="1"/>
          <w:bCs w:val="1"/>
          <w:rtl w:val="0"/>
          <w:lang w:val="en-US"/>
        </w:rPr>
        <w:t>Status updates</w:t>
      </w:r>
      <w:r>
        <w:rPr>
          <w:rtl w:val="0"/>
          <w:lang w:val="en-US"/>
        </w:rPr>
        <w:t xml:space="preserve">: Bi-weekly status updates by the Engagement Manager or other Consultant as the team designates, either email or conference call as agreed upon discussing current activities, next steps, and following-up on document requests and outstanding questions to be conducted via phone with follow-up emails. These updates will not involve the full Endeavour or CIM teams unless agreed upon. </w:t>
      </w:r>
    </w:p>
    <w:p>
      <w:pPr>
        <w:pStyle w:val="List Paragraph"/>
        <w:numPr>
          <w:ilvl w:val="0"/>
          <w:numId w:val="229"/>
        </w:numPr>
        <w:tabs>
          <w:tab w:val="num" w:pos="720"/>
          <w:tab w:val="clear" w:pos="0"/>
        </w:tabs>
        <w:ind w:left="720" w:hanging="360"/>
        <w:rPr>
          <w:position w:val="0"/>
          <w:sz w:val="22"/>
          <w:szCs w:val="22"/>
          <w:rtl w:val="0"/>
        </w:rPr>
      </w:pPr>
      <w:r>
        <w:rPr>
          <w:rtl w:val="0"/>
          <w:lang w:val="en-US"/>
        </w:rPr>
        <w:t>Ad-hoc status updates, questions, or logistical arrangements to be conducted either entirely via email, or if via phone to be scheduled first and followed up after via email.</w:t>
      </w:r>
    </w:p>
    <w:p>
      <w:pPr>
        <w:pStyle w:val="List Paragraph"/>
        <w:numPr>
          <w:ilvl w:val="0"/>
          <w:numId w:val="230"/>
        </w:numPr>
        <w:tabs>
          <w:tab w:val="num" w:pos="720"/>
          <w:tab w:val="clear" w:pos="0"/>
        </w:tabs>
        <w:ind w:left="720" w:hanging="360"/>
        <w:rPr>
          <w:position w:val="0"/>
          <w:sz w:val="22"/>
          <w:szCs w:val="22"/>
          <w:rtl w:val="0"/>
        </w:rPr>
      </w:pPr>
      <w:r>
        <w:rPr>
          <w:rtl w:val="0"/>
          <w:lang w:val="en-US"/>
        </w:rPr>
        <w:t>The engagement manager from EVCN and the President-elect from the CIM remain the primary points of contact for ongoing communications.</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13" w:id="13"/>
      <w:r>
        <w:rPr>
          <w:rtl w:val="0"/>
          <w:lang w:val="en-US"/>
        </w:rPr>
        <w:t>Resource Requirements</w:t>
      </w:r>
      <w:bookmarkEnd w:id="13"/>
    </w:p>
    <w:p>
      <w:pPr>
        <w:pStyle w:val="Body"/>
        <w:jc w:val="both"/>
        <w:rPr>
          <w:rtl w:val="0"/>
        </w:rPr>
      </w:pPr>
    </w:p>
    <w:p>
      <w:pPr>
        <w:pStyle w:val="Heading 2"/>
        <w:numPr>
          <w:ilvl w:val="1"/>
          <w:numId w:val="231"/>
        </w:numPr>
        <w:tabs>
          <w:tab w:val="num" w:pos="720"/>
          <w:tab w:val="clear" w:pos="0"/>
        </w:tabs>
        <w:ind w:left="576" w:firstLine="0"/>
        <w:jc w:val="both"/>
        <w:rPr>
          <w:position w:val="0"/>
          <w:rtl w:val="0"/>
        </w:rPr>
      </w:pPr>
      <w:bookmarkStart w:name="_Toc14" w:id="14"/>
      <w:r>
        <w:rPr>
          <w:rtl w:val="0"/>
          <w:lang w:val="fr-FR"/>
        </w:rPr>
        <w:t>Client Human Resources Available</w:t>
      </w:r>
      <w:bookmarkEnd w:id="14"/>
    </w:p>
    <w:p>
      <w:pPr>
        <w:pStyle w:val="Body"/>
        <w:jc w:val="both"/>
        <w:rPr>
          <w:rtl w:val="0"/>
        </w:rPr>
      </w:pPr>
      <w:r>
        <w:rPr>
          <w:rtl w:val="0"/>
          <w:lang w:val="en-US"/>
        </w:rPr>
        <w:t>Key executives and board members of CIM will be made available as needed and as agreed-upon between CIM and the EVCN team in order to complete the objectives of the engagement.</w:t>
      </w:r>
    </w:p>
    <w:p>
      <w:pPr>
        <w:pStyle w:val="Body"/>
        <w:jc w:val="both"/>
        <w:rPr>
          <w:rtl w:val="0"/>
        </w:rPr>
      </w:pPr>
    </w:p>
    <w:p>
      <w:pPr>
        <w:pStyle w:val="Heading 2"/>
        <w:numPr>
          <w:ilvl w:val="1"/>
          <w:numId w:val="231"/>
        </w:numPr>
        <w:tabs>
          <w:tab w:val="num" w:pos="720"/>
          <w:tab w:val="clear" w:pos="0"/>
        </w:tabs>
        <w:ind w:left="576" w:firstLine="0"/>
        <w:jc w:val="both"/>
        <w:rPr>
          <w:position w:val="0"/>
          <w:rtl w:val="0"/>
        </w:rPr>
      </w:pPr>
      <w:bookmarkStart w:name="_Toc15" w:id="15"/>
      <w:r>
        <w:rPr>
          <w:rtl w:val="0"/>
          <w:lang w:val="en-US"/>
        </w:rPr>
        <w:t>Client Document Resources Available and Expected</w:t>
      </w:r>
      <w:bookmarkEnd w:id="15"/>
    </w:p>
    <w:p>
      <w:pPr>
        <w:pStyle w:val="Body"/>
        <w:jc w:val="both"/>
        <w:rPr>
          <w:rtl w:val="0"/>
        </w:rPr>
      </w:pPr>
      <w:r>
        <w:rPr>
          <w:rtl w:val="0"/>
          <w:lang w:val="en-US"/>
        </w:rPr>
        <w:t>Current and historical financial statements, marketing communication material, 5-year plan, past proposals, sponsorship contracts, member surveys, evaluation data, current by-laws, space for client-consulting team meetings</w:t>
      </w:r>
    </w:p>
    <w:p>
      <w:pPr>
        <w:pStyle w:val="Body"/>
        <w:jc w:val="both"/>
        <w:rPr>
          <w:rtl w:val="0"/>
        </w:rPr>
      </w:pPr>
    </w:p>
    <w:p>
      <w:pPr>
        <w:pStyle w:val="Heading 2"/>
        <w:numPr>
          <w:ilvl w:val="1"/>
          <w:numId w:val="231"/>
        </w:numPr>
        <w:tabs>
          <w:tab w:val="num" w:pos="720"/>
          <w:tab w:val="clear" w:pos="0"/>
        </w:tabs>
        <w:ind w:left="576" w:firstLine="0"/>
        <w:jc w:val="both"/>
        <w:rPr>
          <w:position w:val="0"/>
          <w:rtl w:val="0"/>
        </w:rPr>
      </w:pPr>
      <w:bookmarkStart w:name="_Toc16" w:id="16"/>
      <w:r>
        <w:rPr>
          <w:rtl w:val="0"/>
          <w:lang w:val="fr-FR"/>
        </w:rPr>
        <w:t>Consulting Hours Available</w:t>
      </w:r>
      <w:bookmarkEnd w:id="16"/>
    </w:p>
    <w:p>
      <w:pPr>
        <w:pStyle w:val="Body"/>
        <w:rPr>
          <w:rtl w:val="0"/>
        </w:rPr>
      </w:pPr>
      <w:r>
        <w:rPr>
          <w:rFonts w:ascii="Calibri" w:cs="Arial Unicode MS" w:hAnsi="Arial Unicode MS" w:eastAsia="Arial Unicode MS"/>
          <w:rtl w:val="0"/>
          <w:lang w:val="en-US"/>
        </w:rPr>
        <w:t>The engagement between the EVCN and the CIM is scheduled to run from March 18, 2015 until no later than September 30, 2015. Team members have committed to the following average time commitment.</w:t>
      </w:r>
    </w:p>
    <w:p>
      <w:pPr>
        <w:pStyle w:val="Body"/>
        <w:widowControl w:val="0"/>
        <w:spacing w:after="0" w:line="240" w:lineRule="auto"/>
        <w:rPr>
          <w:b w:val="1"/>
          <w:bCs w:val="1"/>
          <w:i w:val="1"/>
          <w:iCs w:val="1"/>
        </w:rPr>
      </w:pPr>
    </w:p>
    <w:tbl>
      <w:tblPr>
        <w:tblW w:w="935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694"/>
        <w:gridCol w:w="3542"/>
        <w:gridCol w:w="3120"/>
      </w:tblGrid>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jc w:val="both"/>
            </w:pPr>
            <w:r>
              <w:rPr>
                <w:b w:val="1"/>
                <w:bCs w:val="1"/>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3542"/>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3119"/>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Availability</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Engagement Manager</w:t>
            </w:r>
          </w:p>
        </w:tc>
        <w:tc>
          <w:tcPr>
            <w:tcW w:type="dxa" w:w="3542"/>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Conrad Lochovsky</w:t>
            </w:r>
          </w:p>
        </w:tc>
        <w:tc>
          <w:tcPr>
            <w:tcW w:type="dxa" w:w="3119"/>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10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Senior Consultant</w:t>
            </w:r>
          </w:p>
        </w:tc>
        <w:tc>
          <w:tcPr>
            <w:tcW w:type="dxa" w:w="3542"/>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Rocio Laredo</w:t>
            </w:r>
          </w:p>
        </w:tc>
        <w:tc>
          <w:tcPr>
            <w:tcW w:type="dxa" w:w="3119"/>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Senior Consultant</w:t>
            </w:r>
          </w:p>
        </w:tc>
        <w:tc>
          <w:tcPr>
            <w:tcW w:type="dxa" w:w="3542"/>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Alexander Wai</w:t>
            </w:r>
          </w:p>
        </w:tc>
        <w:tc>
          <w:tcPr>
            <w:tcW w:type="dxa" w:w="3119"/>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Consultant</w:t>
            </w:r>
          </w:p>
        </w:tc>
        <w:tc>
          <w:tcPr>
            <w:tcW w:type="dxa" w:w="3542"/>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Albert Albert</w:t>
            </w:r>
          </w:p>
        </w:tc>
        <w:tc>
          <w:tcPr>
            <w:tcW w:type="dxa" w:w="3119"/>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Consultant</w:t>
            </w:r>
          </w:p>
        </w:tc>
        <w:tc>
          <w:tcPr>
            <w:tcW w:type="dxa" w:w="3542"/>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Jesse Firempong</w:t>
            </w:r>
          </w:p>
        </w:tc>
        <w:tc>
          <w:tcPr>
            <w:tcW w:type="dxa" w:w="3119"/>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Consultant</w:t>
            </w:r>
          </w:p>
        </w:tc>
        <w:tc>
          <w:tcPr>
            <w:tcW w:type="dxa" w:w="3542"/>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Tanisha Nathoo</w:t>
            </w:r>
          </w:p>
        </w:tc>
        <w:tc>
          <w:tcPr>
            <w:tcW w:type="dxa" w:w="3119"/>
            <w:tcBorders>
              <w:top w:val="single" w:color="9cc2e5" w:sz="4" w:space="0" w:shadow="0" w:frame="0"/>
              <w:left w:val="nil"/>
              <w:bottom w:val="single" w:color="9cc2e5" w:sz="4" w:space="0" w:shadow="0" w:frame="0"/>
              <w:right w:val="nil"/>
            </w:tcBorders>
            <w:shd w:val="clear" w:color="auto" w:fill="deeaf6"/>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r>
        <w:tblPrEx>
          <w:shd w:val="clear" w:color="auto" w:fill="auto"/>
        </w:tblPrEx>
        <w:trPr>
          <w:trHeight w:val="270" w:hRule="atLeast"/>
        </w:trPr>
        <w:tc>
          <w:tcPr>
            <w:tcW w:type="dxa" w:w="2694"/>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Consultant</w:t>
            </w:r>
          </w:p>
        </w:tc>
        <w:tc>
          <w:tcPr>
            <w:tcW w:type="dxa" w:w="3542"/>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Yuri Yatsenko</w:t>
            </w:r>
          </w:p>
        </w:tc>
        <w:tc>
          <w:tcPr>
            <w:tcW w:type="dxa" w:w="3119"/>
            <w:tcBorders>
              <w:top w:val="single" w:color="9cc2e5" w:sz="4" w:space="0" w:shadow="0" w:frame="0"/>
              <w:left w:val="nil"/>
              <w:bottom w:val="single" w:color="9cc2e5"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w:t>
            </w:r>
            <w:r>
              <w:rPr>
                <w:rFonts w:hAnsi="Calibri"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8 hours per week</w:t>
            </w:r>
          </w:p>
        </w:tc>
      </w:tr>
    </w:tbl>
    <w:p>
      <w:pPr>
        <w:pStyle w:val="Body"/>
        <w:widowControl w:val="0"/>
        <w:spacing w:after="0" w:line="240" w:lineRule="auto"/>
        <w:rPr>
          <w:b w:val="1"/>
          <w:bCs w:val="1"/>
          <w:i w:val="1"/>
          <w:iCs w:val="1"/>
        </w:rPr>
      </w:pPr>
    </w:p>
    <w:p>
      <w:pPr>
        <w:pStyle w:val="Body"/>
        <w:spacing w:after="0" w:line="240" w:lineRule="auto"/>
        <w:rPr>
          <w:rFonts w:ascii="Arial" w:cs="Arial" w:hAnsi="Arial" w:eastAsia="Arial"/>
          <w:color w:val="000000"/>
          <w:sz w:val="20"/>
          <w:szCs w:val="20"/>
          <w:u w:color="000000"/>
        </w:rPr>
      </w:pP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17" w:id="17"/>
      <w:r>
        <w:rPr>
          <w:rtl w:val="0"/>
          <w:lang w:val="en-US"/>
        </w:rPr>
        <w:t>Team Structure, Roles, and Responsibilities</w:t>
      </w:r>
      <w:bookmarkEnd w:id="17"/>
    </w:p>
    <w:p>
      <w:pPr>
        <w:pStyle w:val="Body"/>
        <w:rPr>
          <w:rtl w:val="0"/>
        </w:rPr>
      </w:pPr>
    </w:p>
    <w:p>
      <w:pPr>
        <w:pStyle w:val="Heading 2"/>
        <w:numPr>
          <w:ilvl w:val="1"/>
          <w:numId w:val="232"/>
        </w:numPr>
        <w:tabs>
          <w:tab w:val="num" w:pos="720"/>
          <w:tab w:val="clear" w:pos="0"/>
        </w:tabs>
        <w:ind w:left="576" w:firstLine="0"/>
        <w:jc w:val="both"/>
        <w:rPr>
          <w:position w:val="0"/>
          <w:rtl w:val="0"/>
        </w:rPr>
      </w:pPr>
      <w:bookmarkStart w:name="_Toc18" w:id="18"/>
      <w:r>
        <w:rPr>
          <w:rtl w:val="0"/>
          <w:lang w:val="en-US"/>
        </w:rPr>
        <w:t>Responsibilities of Consulting Team</w:t>
      </w:r>
      <w:bookmarkEnd w:id="18"/>
    </w:p>
    <w:p>
      <w:pPr>
        <w:pStyle w:val="Heading 3"/>
        <w:numPr>
          <w:ilvl w:val="2"/>
          <w:numId w:val="233"/>
        </w:numPr>
        <w:tabs>
          <w:tab w:val="num" w:pos="1440"/>
          <w:tab w:val="clear" w:pos="0"/>
        </w:tabs>
        <w:ind w:left="720" w:firstLine="0"/>
        <w:jc w:val="both"/>
        <w:rPr>
          <w:position w:val="0"/>
          <w:rtl w:val="0"/>
        </w:rPr>
      </w:pPr>
      <w:bookmarkStart w:name="_Toc19" w:id="19"/>
      <w:r>
        <w:rPr>
          <w:rtl w:val="0"/>
          <w:lang w:val="en-US"/>
        </w:rPr>
        <w:t>Responsibilities of Engagement Manager</w:t>
      </w:r>
      <w:bookmarkEnd w:id="19"/>
    </w:p>
    <w:p>
      <w:pPr>
        <w:pStyle w:val="Body"/>
        <w:jc w:val="both"/>
        <w:rPr>
          <w:rtl w:val="0"/>
        </w:rPr>
      </w:pPr>
      <w:r>
        <w:rPr>
          <w:rtl w:val="0"/>
          <w:lang w:val="en-US"/>
        </w:rPr>
        <w:t>The Engagement Manager plays a pivotal role in addressing the challenges of our non</w:t>
      </w:r>
      <w:r>
        <w:rPr>
          <w:rFonts w:hAnsi="Calibri" w:hint="default"/>
          <w:rtl w:val="0"/>
        </w:rPr>
        <w:t>‐</w:t>
      </w:r>
      <w:r>
        <w:rPr>
          <w:rtl w:val="0"/>
          <w:lang w:val="en-US"/>
        </w:rPr>
        <w:t>profit client during the six</w:t>
      </w:r>
      <w:r>
        <w:rPr>
          <w:rFonts w:hAnsi="Calibri" w:hint="default"/>
          <w:rtl w:val="0"/>
        </w:rPr>
        <w:t>‐</w:t>
      </w:r>
      <w:r>
        <w:rPr>
          <w:rtl w:val="0"/>
          <w:lang w:val="en-US"/>
        </w:rPr>
        <w:t>month consulting engagement. The Engagement Manager is an experienced manager and leader with client experience who has the capability and responsibility for the following items:</w:t>
      </w:r>
    </w:p>
    <w:p>
      <w:pPr>
        <w:pStyle w:val="List Paragraph"/>
        <w:numPr>
          <w:ilvl w:val="0"/>
          <w:numId w:val="236"/>
        </w:numPr>
        <w:tabs>
          <w:tab w:val="num" w:pos="720"/>
          <w:tab w:val="left" w:pos="810"/>
          <w:tab w:val="clear" w:pos="0"/>
        </w:tabs>
        <w:ind w:left="720" w:hanging="360"/>
        <w:jc w:val="both"/>
        <w:rPr>
          <w:position w:val="0"/>
          <w:sz w:val="22"/>
          <w:szCs w:val="22"/>
          <w:rtl w:val="0"/>
        </w:rPr>
      </w:pPr>
      <w:r>
        <w:rPr>
          <w:rtl w:val="0"/>
          <w:lang w:val="en-US"/>
        </w:rPr>
        <w:t xml:space="preserve">Manages the entire project life cycle, including: diagnosing the client needs through client consultations; defining the problem statement, scope of work and timeline; structuring and executing the problem solving methodology correctly. </w:t>
      </w:r>
    </w:p>
    <w:p>
      <w:pPr>
        <w:pStyle w:val="List Paragraph"/>
        <w:numPr>
          <w:ilvl w:val="0"/>
          <w:numId w:val="237"/>
        </w:numPr>
        <w:tabs>
          <w:tab w:val="num" w:pos="720"/>
          <w:tab w:val="left" w:pos="810"/>
          <w:tab w:val="clear" w:pos="0"/>
        </w:tabs>
        <w:ind w:left="720" w:hanging="360"/>
        <w:jc w:val="both"/>
        <w:rPr>
          <w:position w:val="0"/>
          <w:sz w:val="22"/>
          <w:szCs w:val="22"/>
          <w:rtl w:val="0"/>
        </w:rPr>
      </w:pPr>
      <w:r>
        <w:rPr>
          <w:rtl w:val="0"/>
          <w:lang w:val="en-US"/>
        </w:rPr>
        <w:t>Builds and maintains a close working relationship with the non</w:t>
      </w:r>
      <w:r>
        <w:rPr>
          <w:rFonts w:hAnsi="Calibri" w:hint="default"/>
          <w:rtl w:val="0"/>
          <w:lang w:val="en-US"/>
        </w:rPr>
        <w:t>‐</w:t>
      </w:r>
      <w:r>
        <w:rPr>
          <w:rtl w:val="0"/>
          <w:lang w:val="en-US"/>
        </w:rPr>
        <w:t xml:space="preserve">profit client assigned to his/her consulting team. </w:t>
      </w:r>
    </w:p>
    <w:p>
      <w:pPr>
        <w:pStyle w:val="List Paragraph"/>
        <w:numPr>
          <w:ilvl w:val="0"/>
          <w:numId w:val="238"/>
        </w:numPr>
        <w:tabs>
          <w:tab w:val="num" w:pos="720"/>
          <w:tab w:val="left" w:pos="810"/>
          <w:tab w:val="clear" w:pos="0"/>
        </w:tabs>
        <w:ind w:left="720" w:hanging="360"/>
        <w:jc w:val="both"/>
        <w:rPr>
          <w:position w:val="0"/>
          <w:sz w:val="22"/>
          <w:szCs w:val="22"/>
          <w:rtl w:val="0"/>
        </w:rPr>
      </w:pPr>
      <w:r>
        <w:rPr>
          <w:rtl w:val="0"/>
          <w:lang w:val="en-US"/>
        </w:rPr>
        <w:t xml:space="preserve">Builds and maintains a close working relationship with the project advisor assigned to his/her consulting team. </w:t>
      </w:r>
    </w:p>
    <w:p>
      <w:pPr>
        <w:pStyle w:val="List Paragraph"/>
        <w:numPr>
          <w:ilvl w:val="0"/>
          <w:numId w:val="239"/>
        </w:numPr>
        <w:tabs>
          <w:tab w:val="num" w:pos="720"/>
          <w:tab w:val="left" w:pos="810"/>
          <w:tab w:val="clear" w:pos="0"/>
        </w:tabs>
        <w:ind w:left="720" w:hanging="360"/>
        <w:jc w:val="both"/>
        <w:rPr>
          <w:position w:val="0"/>
          <w:sz w:val="22"/>
          <w:szCs w:val="22"/>
          <w:rtl w:val="0"/>
        </w:rPr>
      </w:pPr>
      <w:r>
        <w:rPr>
          <w:rtl w:val="0"/>
          <w:lang w:val="en-US"/>
        </w:rPr>
        <w:t xml:space="preserve">Motivates, supports and enables his/her associates (both senior consultants and consultants) to become high performers on the consulting engagement. </w:t>
      </w:r>
    </w:p>
    <w:p>
      <w:pPr>
        <w:pStyle w:val="List Paragraph"/>
        <w:numPr>
          <w:ilvl w:val="0"/>
          <w:numId w:val="240"/>
        </w:numPr>
        <w:tabs>
          <w:tab w:val="num" w:pos="720"/>
          <w:tab w:val="left" w:pos="810"/>
          <w:tab w:val="clear" w:pos="0"/>
        </w:tabs>
        <w:ind w:left="720" w:hanging="360"/>
        <w:jc w:val="both"/>
        <w:rPr>
          <w:position w:val="0"/>
          <w:sz w:val="22"/>
          <w:szCs w:val="22"/>
          <w:rtl w:val="0"/>
        </w:rPr>
      </w:pPr>
      <w:r>
        <w:rPr>
          <w:rtl w:val="0"/>
          <w:lang w:val="en-US"/>
        </w:rPr>
        <w:t>Helps the EVCN to develop and strengthen its organizational capacity to serve our clients and share knowledge among volunteers in the organization.</w:t>
      </w:r>
    </w:p>
    <w:p>
      <w:pPr>
        <w:pStyle w:val="List Paragraph"/>
        <w:ind w:left="360" w:firstLine="0"/>
        <w:jc w:val="both"/>
        <w:rPr>
          <w:rtl w:val="0"/>
        </w:rPr>
      </w:pPr>
    </w:p>
    <w:p>
      <w:pPr>
        <w:pStyle w:val="Heading 3"/>
        <w:numPr>
          <w:ilvl w:val="2"/>
          <w:numId w:val="233"/>
        </w:numPr>
        <w:tabs>
          <w:tab w:val="num" w:pos="1440"/>
          <w:tab w:val="clear" w:pos="0"/>
        </w:tabs>
        <w:ind w:left="720" w:firstLine="0"/>
        <w:jc w:val="both"/>
        <w:rPr>
          <w:position w:val="0"/>
          <w:rtl w:val="0"/>
        </w:rPr>
      </w:pPr>
      <w:bookmarkStart w:name="_Toc20" w:id="20"/>
      <w:r>
        <w:rPr>
          <w:rtl w:val="0"/>
          <w:lang w:val="en-US"/>
        </w:rPr>
        <w:t>Responsibilities of Consultants</w:t>
      </w:r>
      <w:bookmarkEnd w:id="20"/>
    </w:p>
    <w:p>
      <w:pPr>
        <w:pStyle w:val="List Paragraph"/>
        <w:numPr>
          <w:ilvl w:val="0"/>
          <w:numId w:val="243"/>
        </w:numPr>
        <w:tabs>
          <w:tab w:val="num" w:pos="720"/>
          <w:tab w:val="clear" w:pos="0"/>
        </w:tabs>
        <w:ind w:left="720" w:hanging="360"/>
        <w:jc w:val="both"/>
        <w:rPr>
          <w:position w:val="0"/>
          <w:sz w:val="22"/>
          <w:szCs w:val="22"/>
          <w:rtl w:val="0"/>
        </w:rPr>
      </w:pPr>
      <w:r>
        <w:rPr>
          <w:rtl w:val="0"/>
          <w:lang w:val="en-US"/>
        </w:rPr>
        <w:t>Attending an orientation, mid</w:t>
      </w:r>
      <w:r>
        <w:rPr>
          <w:rFonts w:hAnsi="Calibri" w:hint="default"/>
          <w:rtl w:val="0"/>
          <w:lang w:val="en-US"/>
        </w:rPr>
        <w:t>‐</w:t>
      </w:r>
      <w:r>
        <w:rPr>
          <w:rtl w:val="0"/>
          <w:lang w:val="en-US"/>
        </w:rPr>
        <w:t xml:space="preserve">term review session, final presentation event and three training workshops. </w:t>
      </w:r>
    </w:p>
    <w:p>
      <w:pPr>
        <w:pStyle w:val="List Paragraph"/>
        <w:numPr>
          <w:ilvl w:val="0"/>
          <w:numId w:val="244"/>
        </w:numPr>
        <w:tabs>
          <w:tab w:val="num" w:pos="720"/>
          <w:tab w:val="clear" w:pos="0"/>
        </w:tabs>
        <w:ind w:left="720" w:hanging="360"/>
        <w:jc w:val="both"/>
        <w:rPr>
          <w:position w:val="0"/>
          <w:sz w:val="22"/>
          <w:szCs w:val="22"/>
          <w:rtl w:val="0"/>
        </w:rPr>
      </w:pPr>
      <w:r>
        <w:rPr>
          <w:rtl w:val="0"/>
          <w:lang w:val="en-US"/>
        </w:rPr>
        <w:t xml:space="preserve">Developing a statement of work based on team consultations with the client and project advisor. </w:t>
      </w:r>
    </w:p>
    <w:p>
      <w:pPr>
        <w:pStyle w:val="List Paragraph"/>
        <w:numPr>
          <w:ilvl w:val="0"/>
          <w:numId w:val="245"/>
        </w:numPr>
        <w:tabs>
          <w:tab w:val="num" w:pos="720"/>
          <w:tab w:val="clear" w:pos="0"/>
        </w:tabs>
        <w:ind w:left="720" w:hanging="360"/>
        <w:jc w:val="both"/>
        <w:rPr>
          <w:position w:val="0"/>
          <w:sz w:val="22"/>
          <w:szCs w:val="22"/>
          <w:rtl w:val="0"/>
        </w:rPr>
      </w:pPr>
      <w:r>
        <w:rPr>
          <w:rtl w:val="0"/>
          <w:lang w:val="en-US"/>
        </w:rPr>
        <w:t xml:space="preserve">Research, analysis, and the development of strategic options and recommendations related to the agreed to statement and scope of work. </w:t>
      </w:r>
    </w:p>
    <w:p>
      <w:pPr>
        <w:pStyle w:val="List Paragraph"/>
        <w:numPr>
          <w:ilvl w:val="0"/>
          <w:numId w:val="246"/>
        </w:numPr>
        <w:tabs>
          <w:tab w:val="num" w:pos="720"/>
          <w:tab w:val="clear" w:pos="0"/>
        </w:tabs>
        <w:ind w:left="720" w:hanging="360"/>
        <w:jc w:val="both"/>
        <w:rPr>
          <w:position w:val="0"/>
          <w:sz w:val="22"/>
          <w:szCs w:val="22"/>
          <w:rtl w:val="0"/>
        </w:rPr>
      </w:pPr>
      <w:r>
        <w:rPr>
          <w:rtl w:val="0"/>
          <w:lang w:val="en-US"/>
        </w:rPr>
        <w:t xml:space="preserve">Regular meetings with the team, client and advisor. </w:t>
      </w:r>
    </w:p>
    <w:p>
      <w:pPr>
        <w:pStyle w:val="List Paragraph"/>
        <w:numPr>
          <w:ilvl w:val="0"/>
          <w:numId w:val="247"/>
        </w:numPr>
        <w:tabs>
          <w:tab w:val="num" w:pos="720"/>
          <w:tab w:val="clear" w:pos="0"/>
        </w:tabs>
        <w:ind w:left="720" w:hanging="360"/>
        <w:jc w:val="both"/>
        <w:rPr>
          <w:position w:val="0"/>
          <w:sz w:val="22"/>
          <w:szCs w:val="22"/>
          <w:rtl w:val="0"/>
        </w:rPr>
      </w:pPr>
      <w:r>
        <w:rPr>
          <w:rtl w:val="0"/>
          <w:lang w:val="en-US"/>
        </w:rPr>
        <w:t xml:space="preserve">Presentations to the client, members of the Advisory Board and Executive Team, and fellow consulting teams. </w:t>
      </w:r>
    </w:p>
    <w:p>
      <w:pPr>
        <w:pStyle w:val="List Paragraph"/>
        <w:numPr>
          <w:ilvl w:val="0"/>
          <w:numId w:val="248"/>
        </w:numPr>
        <w:tabs>
          <w:tab w:val="num" w:pos="720"/>
          <w:tab w:val="clear" w:pos="0"/>
        </w:tabs>
        <w:ind w:left="720" w:hanging="360"/>
        <w:jc w:val="both"/>
        <w:rPr>
          <w:position w:val="0"/>
          <w:sz w:val="22"/>
          <w:szCs w:val="22"/>
          <w:rtl w:val="0"/>
        </w:rPr>
      </w:pPr>
      <w:r>
        <w:rPr>
          <w:rtl w:val="0"/>
          <w:lang w:val="en-US"/>
        </w:rPr>
        <w:t>Assisting the team in providing monthly progress reports to the Executive Team of EVCN for Non</w:t>
      </w:r>
      <w:r>
        <w:rPr>
          <w:rFonts w:hAnsi="Calibri" w:hint="default"/>
          <w:rtl w:val="0"/>
          <w:lang w:val="en-US"/>
        </w:rPr>
        <w:t>‐</w:t>
      </w:r>
      <w:r>
        <w:rPr>
          <w:rtl w:val="0"/>
          <w:lang w:val="en-US"/>
        </w:rPr>
        <w:t xml:space="preserve">Profits. </w:t>
      </w:r>
    </w:p>
    <w:p>
      <w:pPr>
        <w:pStyle w:val="List Paragraph"/>
        <w:numPr>
          <w:ilvl w:val="0"/>
          <w:numId w:val="249"/>
        </w:numPr>
        <w:tabs>
          <w:tab w:val="num" w:pos="720"/>
          <w:tab w:val="clear" w:pos="0"/>
        </w:tabs>
        <w:ind w:left="720" w:hanging="360"/>
        <w:jc w:val="both"/>
        <w:rPr>
          <w:position w:val="0"/>
          <w:sz w:val="22"/>
          <w:szCs w:val="22"/>
          <w:rtl w:val="0"/>
        </w:rPr>
      </w:pPr>
      <w:r>
        <w:rPr>
          <w:rtl w:val="0"/>
          <w:lang w:val="en-US"/>
        </w:rPr>
        <w:t>Sharing your experiences and feedback with fellow consulting teams and the Executive Team of EVCN.</w:t>
      </w:r>
    </w:p>
    <w:p>
      <w:pPr>
        <w:pStyle w:val="Heading 2"/>
        <w:numPr>
          <w:ilvl w:val="1"/>
          <w:numId w:val="232"/>
        </w:numPr>
        <w:tabs>
          <w:tab w:val="num" w:pos="720"/>
          <w:tab w:val="clear" w:pos="0"/>
        </w:tabs>
        <w:ind w:left="576" w:firstLine="0"/>
        <w:jc w:val="both"/>
        <w:rPr>
          <w:position w:val="0"/>
          <w:rtl w:val="0"/>
        </w:rPr>
      </w:pPr>
      <w:bookmarkStart w:name="_Toc21" w:id="21"/>
      <w:r>
        <w:rPr>
          <w:rtl w:val="0"/>
          <w:lang w:val="en-US"/>
        </w:rPr>
        <w:t>Responsibilities of Project Advisor</w:t>
      </w:r>
      <w:bookmarkEnd w:id="21"/>
    </w:p>
    <w:p>
      <w:pPr>
        <w:pStyle w:val="List Paragraph"/>
        <w:numPr>
          <w:ilvl w:val="0"/>
          <w:numId w:val="252"/>
        </w:numPr>
        <w:tabs>
          <w:tab w:val="num" w:pos="720"/>
          <w:tab w:val="clear" w:pos="0"/>
        </w:tabs>
        <w:ind w:left="720" w:hanging="360"/>
        <w:jc w:val="both"/>
        <w:rPr>
          <w:position w:val="0"/>
          <w:sz w:val="22"/>
          <w:szCs w:val="22"/>
          <w:rtl w:val="0"/>
        </w:rPr>
      </w:pPr>
      <w:r>
        <w:rPr>
          <w:rtl w:val="0"/>
          <w:lang w:val="en-US"/>
        </w:rPr>
        <w:t>Attendance at orientation, midterm and final review sessions during the project life cycle.</w:t>
      </w:r>
    </w:p>
    <w:p>
      <w:pPr>
        <w:pStyle w:val="List Paragraph"/>
        <w:numPr>
          <w:ilvl w:val="0"/>
          <w:numId w:val="253"/>
        </w:numPr>
        <w:tabs>
          <w:tab w:val="num" w:pos="720"/>
          <w:tab w:val="clear" w:pos="0"/>
        </w:tabs>
        <w:ind w:left="720" w:hanging="360"/>
        <w:jc w:val="both"/>
        <w:rPr>
          <w:position w:val="0"/>
          <w:sz w:val="22"/>
          <w:szCs w:val="22"/>
          <w:rtl w:val="0"/>
        </w:rPr>
      </w:pPr>
      <w:r>
        <w:rPr>
          <w:rtl w:val="0"/>
          <w:lang w:val="en-US"/>
        </w:rPr>
        <w:t xml:space="preserve">Set expectations at first team meeting around meetings and mode and frequency of communications etc. </w:t>
      </w:r>
    </w:p>
    <w:p>
      <w:pPr>
        <w:pStyle w:val="List Paragraph"/>
        <w:numPr>
          <w:ilvl w:val="0"/>
          <w:numId w:val="254"/>
        </w:numPr>
        <w:tabs>
          <w:tab w:val="num" w:pos="720"/>
          <w:tab w:val="clear" w:pos="0"/>
        </w:tabs>
        <w:ind w:left="720" w:hanging="360"/>
        <w:jc w:val="both"/>
        <w:rPr>
          <w:position w:val="0"/>
          <w:sz w:val="22"/>
          <w:szCs w:val="22"/>
          <w:rtl w:val="0"/>
        </w:rPr>
      </w:pPr>
      <w:r>
        <w:rPr>
          <w:rtl w:val="0"/>
          <w:lang w:val="en-US"/>
        </w:rPr>
        <w:t xml:space="preserve">General guidance around where to look for resources. </w:t>
      </w:r>
    </w:p>
    <w:p>
      <w:pPr>
        <w:pStyle w:val="List Paragraph"/>
        <w:numPr>
          <w:ilvl w:val="0"/>
          <w:numId w:val="255"/>
        </w:numPr>
        <w:tabs>
          <w:tab w:val="num" w:pos="720"/>
          <w:tab w:val="clear" w:pos="0"/>
        </w:tabs>
        <w:ind w:left="720" w:hanging="360"/>
        <w:jc w:val="both"/>
        <w:rPr>
          <w:position w:val="0"/>
          <w:sz w:val="22"/>
          <w:szCs w:val="22"/>
          <w:rtl w:val="0"/>
        </w:rPr>
      </w:pPr>
      <w:r>
        <w:rPr>
          <w:rtl w:val="0"/>
          <w:lang w:val="en-US"/>
        </w:rPr>
        <w:t xml:space="preserve">General guidance around client management. </w:t>
      </w:r>
    </w:p>
    <w:p>
      <w:pPr>
        <w:pStyle w:val="List Paragraph"/>
        <w:numPr>
          <w:ilvl w:val="0"/>
          <w:numId w:val="256"/>
        </w:numPr>
        <w:tabs>
          <w:tab w:val="num" w:pos="720"/>
          <w:tab w:val="clear" w:pos="0"/>
        </w:tabs>
        <w:ind w:left="720" w:hanging="360"/>
        <w:jc w:val="both"/>
        <w:rPr>
          <w:position w:val="0"/>
          <w:sz w:val="22"/>
          <w:szCs w:val="22"/>
          <w:rtl w:val="0"/>
        </w:rPr>
      </w:pPr>
      <w:r>
        <w:rPr>
          <w:rtl w:val="0"/>
          <w:lang w:val="en-US"/>
        </w:rPr>
        <w:t xml:space="preserve">Validating and providing feedback on frameworks. </w:t>
      </w:r>
    </w:p>
    <w:p>
      <w:pPr>
        <w:pStyle w:val="List Paragraph"/>
        <w:numPr>
          <w:ilvl w:val="0"/>
          <w:numId w:val="257"/>
        </w:numPr>
        <w:tabs>
          <w:tab w:val="num" w:pos="720"/>
          <w:tab w:val="clear" w:pos="0"/>
        </w:tabs>
        <w:ind w:left="720" w:hanging="360"/>
        <w:jc w:val="both"/>
        <w:rPr>
          <w:position w:val="0"/>
          <w:sz w:val="22"/>
          <w:szCs w:val="22"/>
          <w:rtl w:val="0"/>
        </w:rPr>
      </w:pPr>
      <w:r>
        <w:rPr>
          <w:rtl w:val="0"/>
          <w:lang w:val="en-US"/>
        </w:rPr>
        <w:t xml:space="preserve">The advisor to sign off on change request forms. </w:t>
      </w:r>
    </w:p>
    <w:p>
      <w:pPr>
        <w:pStyle w:val="List Paragraph"/>
        <w:numPr>
          <w:ilvl w:val="0"/>
          <w:numId w:val="258"/>
        </w:numPr>
        <w:tabs>
          <w:tab w:val="num" w:pos="720"/>
          <w:tab w:val="clear" w:pos="0"/>
        </w:tabs>
        <w:ind w:left="720" w:hanging="360"/>
        <w:jc w:val="both"/>
        <w:rPr>
          <w:position w:val="0"/>
          <w:sz w:val="22"/>
          <w:szCs w:val="22"/>
          <w:rtl w:val="0"/>
        </w:rPr>
      </w:pPr>
      <w:r>
        <w:rPr>
          <w:rtl w:val="0"/>
          <w:lang w:val="en-US"/>
        </w:rPr>
        <w:t xml:space="preserve">Conduct a detailed review of the final deliverable and sign off on the content before it goes to the client. </w:t>
      </w:r>
    </w:p>
    <w:p>
      <w:pPr>
        <w:pStyle w:val="List Paragraph"/>
        <w:numPr>
          <w:ilvl w:val="0"/>
          <w:numId w:val="259"/>
        </w:numPr>
        <w:tabs>
          <w:tab w:val="num" w:pos="720"/>
          <w:tab w:val="clear" w:pos="0"/>
        </w:tabs>
        <w:ind w:left="720" w:hanging="360"/>
        <w:jc w:val="both"/>
        <w:rPr>
          <w:position w:val="0"/>
          <w:sz w:val="22"/>
          <w:szCs w:val="22"/>
          <w:rtl w:val="0"/>
        </w:rPr>
      </w:pPr>
      <w:r>
        <w:rPr>
          <w:rtl w:val="0"/>
          <w:lang w:val="en-US"/>
        </w:rPr>
        <w:t>Feedback on potential client projects.</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22" w:id="22"/>
      <w:r>
        <w:rPr>
          <w:rtl w:val="0"/>
          <w:lang w:val="en-US"/>
        </w:rPr>
        <w:t>Deviation Disclaimer</w:t>
      </w:r>
      <w:bookmarkEnd w:id="22"/>
    </w:p>
    <w:p>
      <w:pPr>
        <w:pStyle w:val="Body"/>
        <w:jc w:val="both"/>
        <w:rPr>
          <w:i w:val="1"/>
          <w:iCs w:val="1"/>
        </w:rPr>
      </w:pPr>
    </w:p>
    <w:p>
      <w:pPr>
        <w:pStyle w:val="Body"/>
        <w:jc w:val="both"/>
        <w:rPr>
          <w:i w:val="1"/>
          <w:iCs w:val="1"/>
          <w:rtl w:val="0"/>
        </w:rPr>
      </w:pPr>
      <w:r>
        <w:rPr>
          <w:i w:val="1"/>
          <w:iCs w:val="1"/>
          <w:rtl w:val="0"/>
          <w:lang w:val="en-US"/>
        </w:rPr>
        <w:t>The Deviation Disclaimer must be completed to indicate whether the Statement of Work (SOW) is a deviation from the client</w:t>
      </w:r>
      <w:r>
        <w:rPr>
          <w:rFonts w:hAnsi="Calibri" w:hint="default"/>
          <w:i w:val="1"/>
          <w:iCs w:val="1"/>
          <w:rtl w:val="0"/>
          <w:lang w:val="fr-FR"/>
        </w:rPr>
        <w:t>’</w:t>
      </w:r>
      <w:r>
        <w:rPr>
          <w:i w:val="1"/>
          <w:iCs w:val="1"/>
          <w:rtl w:val="0"/>
          <w:lang w:val="en-US"/>
        </w:rPr>
        <w:t>s initial application. Should there be changes in the SOW, they should be noted to ensure that they client is aware of the scope change and understands the resulting implications.</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23" w:id="23"/>
      <w:r>
        <w:rPr>
          <w:rtl w:val="0"/>
          <w:lang w:val="en-US"/>
        </w:rPr>
        <w:t>Client Agreement</w:t>
      </w:r>
      <w:bookmarkEnd w:id="23"/>
    </w:p>
    <w:p>
      <w:pPr>
        <w:pStyle w:val="Body"/>
        <w:jc w:val="both"/>
        <w:rPr>
          <w:rtl w:val="0"/>
        </w:rPr>
      </w:pPr>
    </w:p>
    <w:p>
      <w:pPr>
        <w:pStyle w:val="Body"/>
        <w:jc w:val="both"/>
        <w:rPr>
          <w:rtl w:val="0"/>
        </w:rPr>
      </w:pPr>
      <w:r>
        <w:rPr>
          <w:rtl w:val="0"/>
          <w:lang w:val="en-US"/>
        </w:rPr>
        <w:t>The following is a template of the Client Agreement signed by the Client and Endeavour Volunteer Consulting for Non-Profits (Endeavour) before commencing the consulting engagement:</w:t>
      </w:r>
    </w:p>
    <w:p>
      <w:pPr>
        <w:pStyle w:val="Body"/>
        <w:jc w:val="both"/>
        <w:rPr>
          <w:i w:val="1"/>
          <w:iCs w:val="1"/>
        </w:rPr>
      </w:pPr>
      <w:r>
        <w:rPr>
          <w:i w:val="1"/>
          <w:iCs w:val="1"/>
          <w:rtl w:val="0"/>
          <w:lang w:val="en-US"/>
        </w:rPr>
        <w:t xml:space="preserve">The template can be found online at the Endeavour Knowledge Center website </w:t>
      </w:r>
      <w:r>
        <w:rPr>
          <w:rFonts w:hAnsi="Calibri" w:hint="default"/>
          <w:i w:val="1"/>
          <w:iCs w:val="1"/>
          <w:rtl w:val="0"/>
        </w:rPr>
        <w:t xml:space="preserve">– </w:t>
      </w:r>
      <w:r>
        <w:rPr>
          <w:i w:val="1"/>
          <w:iCs w:val="1"/>
          <w:rtl w:val="0"/>
          <w:lang w:val="en-US"/>
        </w:rPr>
        <w:t xml:space="preserve">under Documents </w:t>
      </w:r>
      <w:r>
        <w:rPr>
          <w:rFonts w:hAnsi="Calibri" w:hint="default"/>
          <w:i w:val="1"/>
          <w:iCs w:val="1"/>
          <w:rtl w:val="0"/>
        </w:rPr>
        <w:t xml:space="preserve">– </w:t>
      </w:r>
      <w:r>
        <w:rPr>
          <w:i w:val="1"/>
          <w:iCs w:val="1"/>
          <w:rtl w:val="0"/>
          <w:lang w:val="en-US"/>
        </w:rPr>
        <w:t>Agreements and Guidelines.</w:t>
      </w:r>
    </w:p>
    <w:p>
      <w:pPr>
        <w:pStyle w:val="Body"/>
      </w:pPr>
      <w:r>
        <w:rPr>
          <w:rtl w:val="0"/>
        </w:rPr>
        <w:br w:type="page"/>
      </w:r>
    </w:p>
    <w:p>
      <w:pPr>
        <w:pStyle w:val="Body"/>
        <w:rPr>
          <w:rtl w:val="0"/>
        </w:rPr>
      </w:pPr>
    </w:p>
    <w:p>
      <w:pPr>
        <w:pStyle w:val="Heading"/>
        <w:numPr>
          <w:ilvl w:val="0"/>
          <w:numId w:val="10"/>
        </w:numPr>
        <w:tabs>
          <w:tab w:val="num" w:pos="720"/>
          <w:tab w:val="clear" w:pos="0"/>
        </w:tabs>
        <w:ind w:left="432" w:firstLine="0"/>
        <w:jc w:val="both"/>
        <w:rPr>
          <w:position w:val="0"/>
          <w:rtl w:val="0"/>
        </w:rPr>
      </w:pPr>
      <w:bookmarkStart w:name="_Toc24" w:id="24"/>
      <w:r>
        <w:rPr>
          <w:rtl w:val="0"/>
          <w:lang w:val="fr-FR"/>
        </w:rPr>
        <w:t>Change Request Procedure</w:t>
      </w:r>
      <w:bookmarkEnd w:id="24"/>
    </w:p>
    <w:p>
      <w:pPr>
        <w:pStyle w:val="Body"/>
        <w:jc w:val="both"/>
        <w:rPr>
          <w:rtl w:val="0"/>
        </w:rPr>
      </w:pPr>
    </w:p>
    <w:p>
      <w:pPr>
        <w:pStyle w:val="Body"/>
        <w:jc w:val="both"/>
        <w:rPr>
          <w:rtl w:val="0"/>
        </w:rPr>
      </w:pPr>
      <w:r>
        <w:rPr>
          <w:rtl w:val="0"/>
          <w:lang w:val="en-US"/>
        </w:rPr>
        <w:t>Where evaluation of business case for the proposal suggests the proposal may be worthwhile but cannot be achieved without amending the existing plan, the Endeavour Volunteer Consulting for Non-Profits (Endeavour) Change Request Form must be completed. The Change Request Form is designed to assist the Consulting Team, the Executive Team, and the Advisory Board in determining the potential impact of changes to the project timeline in the signed Statement of Work.</w:t>
      </w:r>
    </w:p>
    <w:p>
      <w:pPr>
        <w:pStyle w:val="Body"/>
        <w:jc w:val="both"/>
        <w:rPr>
          <w:i w:val="1"/>
          <w:iCs w:val="1"/>
          <w:rtl w:val="0"/>
        </w:rPr>
      </w:pPr>
      <w:r>
        <w:rPr>
          <w:i w:val="1"/>
          <w:iCs w:val="1"/>
          <w:rtl w:val="0"/>
          <w:lang w:val="en-US"/>
        </w:rPr>
        <w:t xml:space="preserve">The template can be found online at the Endeavour Knowledge Center website </w:t>
      </w:r>
      <w:r>
        <w:rPr>
          <w:rFonts w:hAnsi="Calibri" w:hint="default"/>
          <w:i w:val="1"/>
          <w:iCs w:val="1"/>
          <w:rtl w:val="0"/>
        </w:rPr>
        <w:t xml:space="preserve">– </w:t>
      </w:r>
      <w:r>
        <w:rPr>
          <w:i w:val="1"/>
          <w:iCs w:val="1"/>
          <w:rtl w:val="0"/>
          <w:lang w:val="en-US"/>
        </w:rPr>
        <w:t xml:space="preserve">under Documents </w:t>
      </w:r>
      <w:r>
        <w:rPr>
          <w:rFonts w:hAnsi="Calibri" w:hint="default"/>
          <w:i w:val="1"/>
          <w:iCs w:val="1"/>
          <w:rtl w:val="0"/>
        </w:rPr>
        <w:t xml:space="preserve">– </w:t>
      </w:r>
      <w:r>
        <w:rPr>
          <w:i w:val="1"/>
          <w:iCs w:val="1"/>
          <w:rtl w:val="0"/>
          <w:lang w:val="en-US"/>
        </w:rPr>
        <w:t>Agreements and Guidelines.</w:t>
      </w:r>
    </w:p>
    <w:p>
      <w:pPr>
        <w:pStyle w:val="Body"/>
        <w:jc w:val="both"/>
        <w:rPr>
          <w:i w:val="1"/>
          <w:iCs w:val="1"/>
          <w:rtl w:val="0"/>
        </w:rPr>
      </w:pPr>
    </w:p>
    <w:p>
      <w:pPr>
        <w:pStyle w:val="Body"/>
      </w:pPr>
      <w:r>
        <w:rPr>
          <w:rtl w:val="0"/>
        </w:rPr>
        <w:br w:type="page"/>
      </w:r>
    </w:p>
    <w:p>
      <w:pPr>
        <w:pStyle w:val="Body"/>
        <w:rPr>
          <w:rFonts w:ascii="Cambria" w:cs="Cambria" w:hAnsi="Cambria" w:eastAsia="Cambria"/>
          <w:b w:val="1"/>
          <w:bCs w:val="1"/>
          <w:color w:val="365f91"/>
          <w:sz w:val="28"/>
          <w:szCs w:val="28"/>
          <w:u w:color="000000"/>
        </w:rPr>
      </w:pPr>
    </w:p>
    <w:p>
      <w:pPr>
        <w:pStyle w:val="Heading"/>
        <w:numPr>
          <w:ilvl w:val="0"/>
          <w:numId w:val="10"/>
        </w:numPr>
        <w:tabs>
          <w:tab w:val="num" w:pos="720"/>
          <w:tab w:val="clear" w:pos="0"/>
        </w:tabs>
        <w:ind w:left="432" w:firstLine="0"/>
        <w:jc w:val="both"/>
        <w:rPr>
          <w:position w:val="0"/>
          <w:rtl w:val="0"/>
        </w:rPr>
      </w:pPr>
      <w:bookmarkStart w:name="_Toc25" w:id="25"/>
      <w:r>
        <w:rPr>
          <w:rtl w:val="0"/>
          <w:lang w:val="en-US"/>
        </w:rPr>
        <w:t>Sign-Off on Statement of Work</w:t>
      </w:r>
      <w:bookmarkEnd w:id="25"/>
    </w:p>
    <w:p>
      <w:pPr>
        <w:pStyle w:val="Body"/>
        <w:jc w:val="both"/>
        <w:rPr>
          <w:rtl w:val="0"/>
        </w:rPr>
      </w:pPr>
    </w:p>
    <w:p>
      <w:pPr>
        <w:pStyle w:val="Body"/>
        <w:widowControl w:val="0"/>
        <w:jc w:val="both"/>
        <w:rPr>
          <w:rtl w:val="0"/>
        </w:rPr>
      </w:pPr>
      <w:r>
        <w:rPr>
          <w:rtl w:val="0"/>
          <w:lang w:val="en-US"/>
        </w:rPr>
        <w:t>This Statement of Work is agreed to be complete and sufficient for commencing the consulting project described herein:</w:t>
      </w:r>
      <w:r>
        <w:rPr>
          <w:rtl w:val="0"/>
        </w:rPr>
        <w:drawing>
          <wp:anchor distT="152400" distB="152400" distL="152400" distR="152400" simplePos="0" relativeHeight="251659264" behindDoc="0" locked="0" layoutInCell="1" allowOverlap="1">
            <wp:simplePos x="0" y="0"/>
            <wp:positionH relativeFrom="margin">
              <wp:posOffset>635046</wp:posOffset>
            </wp:positionH>
            <wp:positionV relativeFrom="line">
              <wp:posOffset>3084199</wp:posOffset>
            </wp:positionV>
            <wp:extent cx="854664" cy="509901"/>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
                    <pic:cNvPicPr/>
                  </pic:nvPicPr>
                  <pic:blipFill>
                    <a:blip r:embed="rId6">
                      <a:extLst/>
                    </a:blip>
                    <a:stretch>
                      <a:fillRect/>
                    </a:stretch>
                  </pic:blipFill>
                  <pic:spPr>
                    <a:xfrm>
                      <a:off x="0" y="0"/>
                      <a:ext cx="854664" cy="509901"/>
                    </a:xfrm>
                    <a:prstGeom prst="rect">
                      <a:avLst/>
                    </a:prstGeom>
                    <a:ln w="12700" cap="flat">
                      <a:noFill/>
                      <a:miter lim="400000"/>
                    </a:ln>
                    <a:effectLst/>
                  </pic:spPr>
                </pic:pic>
              </a:graphicData>
            </a:graphic>
          </wp:anchor>
        </w:drawing>
      </w:r>
    </w:p>
    <w:tbl>
      <w:tblPr>
        <w:tblW w:w="885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424"/>
        <w:gridCol w:w="4432"/>
      </w:tblGrid>
      <w:tr>
        <w:tblPrEx>
          <w:shd w:val="clear" w:color="auto" w:fill="auto"/>
        </w:tblPrEx>
        <w:trPr>
          <w:trHeight w:val="858" w:hRule="atLeast"/>
        </w:trPr>
        <w:tc>
          <w:tcPr>
            <w:tcW w:type="dxa" w:w="4424"/>
            <w:tcBorders>
              <w:top w:val="nil"/>
              <w:left w:val="nil"/>
              <w:bottom w:val="nil"/>
              <w:right w:val="nil"/>
            </w:tcBorders>
            <w:shd w:val="clear" w:color="auto" w:fill="244061"/>
            <w:tcMar>
              <w:top w:type="dxa" w:w="80"/>
              <w:left w:type="dxa" w:w="80"/>
              <w:bottom w:type="dxa" w:w="80"/>
              <w:right w:type="dxa" w:w="80"/>
            </w:tcMar>
            <w:vAlign w:val="top"/>
          </w:tcPr>
          <w:p>
            <w:pPr>
              <w:pStyle w:val="Body"/>
            </w:pPr>
            <w:r>
              <w:rPr>
                <w:rFonts w:ascii="Calibri" w:cs="Arial Unicode MS" w:hAnsi="Arial Unicode MS" w:eastAsia="Arial Unicode MS"/>
                <w:b w:val="1"/>
                <w:bCs w:val="1"/>
                <w:caps w:val="0"/>
                <w:smallCaps w:val="0"/>
                <w:strike w:val="0"/>
                <w:dstrike w:val="0"/>
                <w:outline w:val="0"/>
                <w:color w:val="ffffff"/>
                <w:spacing w:val="0"/>
                <w:kern w:val="0"/>
                <w:position w:val="0"/>
                <w:sz w:val="22"/>
                <w:szCs w:val="22"/>
                <w:u w:val="none" w:color="000000"/>
                <w:vertAlign w:val="baseline"/>
                <w:rtl w:val="0"/>
                <w:lang w:val="en-US"/>
              </w:rPr>
              <w:t xml:space="preserve">Connected In Motion </w:t>
            </w:r>
            <w:r>
              <w:rPr>
                <w:b w:val="1"/>
                <w:bCs w:val="1"/>
                <w:caps w:val="0"/>
                <w:smallCaps w:val="0"/>
                <w:strike w:val="0"/>
                <w:dstrike w:val="0"/>
                <w:outline w:val="0"/>
                <w:color w:val="ffffff"/>
                <w:spacing w:val="0"/>
                <w:kern w:val="0"/>
                <w:position w:val="0"/>
                <w:sz w:val="22"/>
                <w:szCs w:val="22"/>
                <w:u w:val="none" w:color="000000"/>
                <w:vertAlign w:val="baseline"/>
                <w:rtl w:val="0"/>
                <w:lang w:val="en-US"/>
              </w:rPr>
              <w:br w:type="textWrapping"/>
            </w:r>
            <w:r>
              <w:rPr>
                <w:rFonts w:ascii="Calibri" w:cs="Arial Unicode MS" w:hAnsi="Arial Unicode MS" w:eastAsia="Arial Unicode MS"/>
                <w:b w:val="1"/>
                <w:bCs w:val="1"/>
                <w:caps w:val="0"/>
                <w:smallCaps w:val="0"/>
                <w:strike w:val="0"/>
                <w:dstrike w:val="0"/>
                <w:outline w:val="0"/>
                <w:color w:val="ffffff"/>
                <w:spacing w:val="0"/>
                <w:kern w:val="0"/>
                <w:position w:val="0"/>
                <w:sz w:val="22"/>
                <w:szCs w:val="22"/>
                <w:u w:val="none" w:color="000000"/>
                <w:vertAlign w:val="baseline"/>
                <w:rtl w:val="0"/>
                <w:lang w:val="en-US"/>
              </w:rPr>
              <w:t xml:space="preserve">Key Contact </w:t>
            </w:r>
          </w:p>
        </w:tc>
        <w:tc>
          <w:tcPr>
            <w:tcW w:type="dxa" w:w="4432"/>
            <w:tcBorders>
              <w:top w:val="nil"/>
              <w:left w:val="nil"/>
              <w:bottom w:val="nil"/>
              <w:right w:val="nil"/>
            </w:tcBorders>
            <w:shd w:val="clear" w:color="auto" w:fill="244061"/>
            <w:tcMar>
              <w:top w:type="dxa" w:w="80"/>
              <w:left w:type="dxa" w:w="80"/>
              <w:bottom w:type="dxa" w:w="80"/>
              <w:right w:type="dxa" w:w="80"/>
            </w:tcMar>
            <w:vAlign w:val="top"/>
          </w:tcPr>
          <w:p>
            <w:pPr>
              <w:pStyle w:val="Body"/>
            </w:pPr>
            <w:r>
              <w:rPr>
                <w:rFonts w:ascii="Calibri" w:cs="Arial Unicode MS" w:hAnsi="Arial Unicode MS" w:eastAsia="Arial Unicode MS"/>
                <w:b w:val="1"/>
                <w:bCs w:val="1"/>
                <w:caps w:val="0"/>
                <w:smallCaps w:val="0"/>
                <w:strike w:val="0"/>
                <w:dstrike w:val="0"/>
                <w:outline w:val="0"/>
                <w:color w:val="ffffff"/>
                <w:spacing w:val="0"/>
                <w:kern w:val="0"/>
                <w:position w:val="0"/>
                <w:sz w:val="22"/>
                <w:szCs w:val="22"/>
                <w:u w:val="none" w:color="000000"/>
                <w:vertAlign w:val="baseline"/>
                <w:rtl w:val="0"/>
                <w:lang w:val="en-US"/>
              </w:rPr>
              <w:t>Endeavour Volunteer Consulting for Non-Profits</w:t>
            </w:r>
            <w:r>
              <w:rPr>
                <w:b w:val="1"/>
                <w:bCs w:val="1"/>
                <w:caps w:val="0"/>
                <w:smallCaps w:val="0"/>
                <w:strike w:val="0"/>
                <w:dstrike w:val="0"/>
                <w:outline w:val="0"/>
                <w:color w:val="ffffff"/>
                <w:spacing w:val="0"/>
                <w:kern w:val="0"/>
                <w:position w:val="0"/>
                <w:sz w:val="22"/>
                <w:szCs w:val="22"/>
                <w:u w:val="none" w:color="000000"/>
                <w:vertAlign w:val="baseline"/>
                <w:rtl w:val="0"/>
                <w:lang w:val="en-US"/>
              </w:rPr>
              <w:br w:type="textWrapping"/>
            </w:r>
            <w:r>
              <w:rPr>
                <w:rFonts w:ascii="Calibri" w:cs="Arial Unicode MS" w:hAnsi="Arial Unicode MS" w:eastAsia="Arial Unicode MS"/>
                <w:b w:val="1"/>
                <w:bCs w:val="1"/>
                <w:caps w:val="0"/>
                <w:smallCaps w:val="0"/>
                <w:strike w:val="0"/>
                <w:dstrike w:val="0"/>
                <w:outline w:val="0"/>
                <w:color w:val="ffffff"/>
                <w:spacing w:val="0"/>
                <w:kern w:val="0"/>
                <w:position w:val="0"/>
                <w:sz w:val="22"/>
                <w:szCs w:val="22"/>
                <w:u w:val="none" w:color="000000"/>
                <w:vertAlign w:val="baseline"/>
                <w:rtl w:val="0"/>
                <w:lang w:val="en-US"/>
              </w:rPr>
              <w:t xml:space="preserve">Engagement Manager </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 xml:space="preserve">Full Name: </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Hanson, Jen</w:t>
            </w:r>
          </w:p>
        </w:tc>
        <w:tc>
          <w:tcPr>
            <w:tcW w:type="dxa" w:w="4432"/>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Engagement Manager Full Name:</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Lochovsky, Conrad</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Position:</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 xml:space="preserve">Executive Director </w:t>
            </w:r>
          </w:p>
        </w:tc>
        <w:tc>
          <w:tcPr>
            <w:tcW w:type="dxa" w:w="4432"/>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Position:</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Engagement Manager</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Email:</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jen@connectedinmotion.ca</w:t>
            </w:r>
          </w:p>
        </w:tc>
        <w:tc>
          <w:tcPr>
            <w:tcW w:type="dxa" w:w="4432"/>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Email:</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conrad.lochovsky@gmail.com</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Phone:</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(905) 931-2214</w:t>
            </w:r>
          </w:p>
        </w:tc>
        <w:tc>
          <w:tcPr>
            <w:tcW w:type="dxa" w:w="4432"/>
            <w:tcBorders>
              <w:top w:val="nil"/>
              <w:left w:val="nil"/>
              <w:bottom w:val="nil"/>
              <w:right w:val="nil"/>
            </w:tcBorders>
            <w:shd w:val="clear" w:color="auto" w:fill="auto"/>
            <w:tcMar>
              <w:top w:type="dxa" w:w="80"/>
              <w:left w:type="dxa" w:w="80"/>
              <w:bottom w:type="dxa" w:w="80"/>
              <w:right w:type="dxa" w:w="80"/>
            </w:tcMar>
            <w:vAlign w:val="center"/>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Phone:</w:t>
            </w:r>
          </w:p>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416-508-5016</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bottom"/>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Signature:</w:t>
            </w:r>
          </w:p>
        </w:tc>
        <w:tc>
          <w:tcPr>
            <w:tcW w:type="dxa" w:w="4432"/>
            <w:tcBorders>
              <w:top w:val="nil"/>
              <w:left w:val="nil"/>
              <w:bottom w:val="nil"/>
              <w:right w:val="nil"/>
            </w:tcBorders>
            <w:shd w:val="clear" w:color="auto" w:fill="auto"/>
            <w:tcMar>
              <w:top w:type="dxa" w:w="80"/>
              <w:left w:type="dxa" w:w="80"/>
              <w:bottom w:type="dxa" w:w="80"/>
              <w:right w:type="dxa" w:w="80"/>
            </w:tcMar>
            <w:vAlign w:val="bottom"/>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Signature:</w:t>
            </w:r>
          </w:p>
        </w:tc>
      </w:tr>
      <w:tr>
        <w:tblPrEx>
          <w:shd w:val="clear" w:color="auto" w:fill="auto"/>
        </w:tblPrEx>
        <w:trPr>
          <w:trHeight w:val="680" w:hRule="atLeast"/>
        </w:trPr>
        <w:tc>
          <w:tcPr>
            <w:tcW w:type="dxa" w:w="4424"/>
            <w:tcBorders>
              <w:top w:val="nil"/>
              <w:left w:val="nil"/>
              <w:bottom w:val="nil"/>
              <w:right w:val="nil"/>
            </w:tcBorders>
            <w:shd w:val="clear" w:color="auto" w:fill="auto"/>
            <w:tcMar>
              <w:top w:type="dxa" w:w="80"/>
              <w:left w:type="dxa" w:w="80"/>
              <w:bottom w:type="dxa" w:w="80"/>
              <w:right w:type="dxa" w:w="80"/>
            </w:tcMar>
            <w:vAlign w:val="bottom"/>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 xml:space="preserve">Date: </w:t>
            </w:r>
            <w:r>
              <w:rPr>
                <w:b w:val="1"/>
                <w:bCs w:val="1"/>
                <w:caps w:val="0"/>
                <w:smallCaps w:val="0"/>
                <w:strike w:val="0"/>
                <w:dstrike w:val="0"/>
                <w:outline w:val="0"/>
                <w:color w:val="000000"/>
                <w:spacing w:val="0"/>
                <w:kern w:val="0"/>
                <w:position w:val="0"/>
                <w:sz w:val="22"/>
                <w:szCs w:val="22"/>
                <w:u w:val="none" w:color="000000"/>
                <w:vertAlign w:val="baseline"/>
                <w:rtl w:val="0"/>
                <w:lang w:val="en-US"/>
              </w:rPr>
              <w:t xml:space="preserve"> </w:t>
            </w:r>
            <w:r>
              <w:rPr>
                <w:rtl w:val="0"/>
                <w:lang w:val="en-US"/>
              </w:rPr>
              <w:t>May 10, 2015</w:t>
            </w:r>
            <w:r>
              <w:rPr>
                <w:lang w:val="en-US"/>
              </w:rPr>
            </w:r>
          </w:p>
        </w:tc>
        <w:tc>
          <w:tcPr>
            <w:tcW w:type="dxa" w:w="4432"/>
            <w:tcBorders>
              <w:top w:val="nil"/>
              <w:left w:val="nil"/>
              <w:bottom w:val="nil"/>
              <w:right w:val="nil"/>
            </w:tcBorders>
            <w:shd w:val="clear" w:color="auto" w:fill="auto"/>
            <w:tcMar>
              <w:top w:type="dxa" w:w="80"/>
              <w:left w:type="dxa" w:w="80"/>
              <w:bottom w:type="dxa" w:w="80"/>
              <w:right w:type="dxa" w:w="80"/>
            </w:tcMar>
            <w:vAlign w:val="bottom"/>
          </w:tcPr>
          <w:p>
            <w:pPr>
              <w:pStyle w:val="Body"/>
              <w:spacing w:after="0" w:line="240" w:lineRule="auto"/>
              <w:rPr>
                <w:b w:val="1"/>
                <w:bCs w:val="1"/>
                <w:caps w:val="0"/>
                <w:smallCaps w:val="0"/>
                <w:strike w:val="0"/>
                <w:dstrike w:val="0"/>
                <w:outline w:val="0"/>
                <w:color w:val="000000"/>
                <w:spacing w:val="0"/>
                <w:kern w:val="0"/>
                <w:position w:val="0"/>
                <w:sz w:val="22"/>
                <w:szCs w:val="22"/>
                <w:u w:val="none" w:color="000000"/>
                <w:vertAlign w:val="baseline"/>
                <w:rtl w:val="0"/>
                <w:lang w:val="en-US"/>
              </w:rPr>
            </w:pPr>
            <w:r>
              <w:rPr>
                <w:b w:val="1"/>
                <w:bCs w:val="1"/>
                <w:caps w:val="0"/>
                <w:smallCaps w:val="0"/>
                <w:strike w:val="0"/>
                <w:dstrike w:val="0"/>
                <w:outline w:val="0"/>
                <w:color w:val="000000"/>
                <w:spacing w:val="0"/>
                <w:kern w:val="0"/>
                <w:position w:val="0"/>
                <w:sz w:val="22"/>
                <w:szCs w:val="22"/>
                <w:u w:val="none" w:color="000000"/>
                <w:vertAlign w:val="baseline"/>
                <w:rtl w:val="0"/>
                <w:lang w:val="en-US"/>
              </w:rPr>
              <w:t xml:space="preserve">Date: </w:t>
            </w:r>
          </w:p>
        </w:tc>
      </w:tr>
    </w:tbl>
    <w:p>
      <w:pPr>
        <w:pStyle w:val="Body"/>
        <w:widowControl w:val="0"/>
        <w:spacing w:line="240" w:lineRule="auto"/>
        <w:jc w:val="both"/>
        <w:rPr>
          <w:rtl w:val="0"/>
        </w:rPr>
      </w:pPr>
    </w:p>
    <w:p>
      <w:pPr>
        <w:pStyle w:val="Body"/>
        <w:rPr>
          <w:rtl w:val="0"/>
        </w:rPr>
      </w:pPr>
    </w:p>
    <w:p>
      <w:pPr>
        <w:pStyle w:val="Body"/>
      </w:pPr>
      <w:r>
        <w:rPr>
          <w:rtl w:val="0"/>
        </w:rPr>
        <w:br w:type="page"/>
      </w:r>
    </w:p>
    <w:p>
      <w:pPr>
        <w:pStyle w:val="Body"/>
        <w:rPr>
          <w:rtl w:val="0"/>
        </w:rPr>
      </w:pPr>
    </w:p>
    <w:p>
      <w:pPr>
        <w:pStyle w:val="Body"/>
        <w:jc w:val="both"/>
        <w:rPr>
          <w:rtl w:val="0"/>
        </w:rPr>
      </w:pPr>
    </w:p>
    <w:p>
      <w:pPr>
        <w:pStyle w:val="Heading"/>
        <w:numPr>
          <w:ilvl w:val="0"/>
          <w:numId w:val="10"/>
        </w:numPr>
        <w:tabs>
          <w:tab w:val="num" w:pos="720"/>
          <w:tab w:val="clear" w:pos="0"/>
        </w:tabs>
        <w:ind w:left="432" w:firstLine="0"/>
        <w:jc w:val="both"/>
        <w:rPr>
          <w:position w:val="0"/>
          <w:rtl w:val="0"/>
        </w:rPr>
      </w:pPr>
      <w:bookmarkStart w:name="_Toc26" w:id="26"/>
      <w:r>
        <w:rPr>
          <w:rtl w:val="0"/>
          <w:lang w:val="en-US"/>
        </w:rPr>
        <w:t>Project Contributors</w:t>
      </w:r>
      <w:bookmarkEnd w:id="26"/>
    </w:p>
    <w:p>
      <w:pPr>
        <w:pStyle w:val="Body"/>
        <w:widowControl w:val="0"/>
        <w:jc w:val="both"/>
        <w:rPr>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8"/>
        <w:gridCol w:w="4682"/>
      </w:tblGrid>
      <w:tr>
        <w:tblPrEx>
          <w:shd w:val="clear" w:color="auto" w:fill="auto"/>
        </w:tblPrEx>
        <w:trPr>
          <w:trHeight w:val="579" w:hRule="atLeast"/>
        </w:trPr>
        <w:tc>
          <w:tcPr>
            <w:tcW w:type="dxa" w:w="4678"/>
            <w:tcBorders>
              <w:top w:val="single" w:color="4f81bd" w:sz="8" w:space="0" w:shadow="0" w:frame="0"/>
              <w:left w:val="nil"/>
              <w:bottom w:val="single" w:color="4f81bd" w:sz="8" w:space="0" w:shadow="0" w:frame="0"/>
              <w:right w:val="nil"/>
            </w:tcBorders>
            <w:shd w:val="clear" w:color="auto" w:fill="auto"/>
            <w:tcMar>
              <w:top w:type="dxa" w:w="80"/>
              <w:left w:type="dxa" w:w="80"/>
              <w:bottom w:type="dxa" w:w="80"/>
              <w:right w:type="dxa" w:w="80"/>
            </w:tcMar>
            <w:vAlign w:val="center"/>
          </w:tcPr>
          <w:p>
            <w:pPr>
              <w:pStyle w:val="Body"/>
            </w:pPr>
            <w:r>
              <w:rPr>
                <w:rFonts w:ascii="Calibri" w:cs="Arial Unicode MS" w:hAnsi="Arial Unicode MS" w:eastAsia="Arial Unicode MS"/>
                <w:b w:val="1"/>
                <w:bCs w:val="1"/>
                <w:caps w:val="0"/>
                <w:smallCaps w:val="0"/>
                <w:strike w:val="0"/>
                <w:dstrike w:val="0"/>
                <w:outline w:val="0"/>
                <w:color w:val="000000"/>
                <w:spacing w:val="0"/>
                <w:kern w:val="0"/>
                <w:position w:val="0"/>
                <w:sz w:val="22"/>
                <w:szCs w:val="22"/>
                <w:u w:val="none" w:color="000000"/>
                <w:vertAlign w:val="baseline"/>
                <w:rtl w:val="0"/>
                <w:lang w:val="en-US"/>
              </w:rPr>
              <w:t>Endeavour Volunteer Consulting For Non-Profits (Endeavour)</w:t>
            </w:r>
          </w:p>
        </w:tc>
        <w:tc>
          <w:tcPr>
            <w:tcW w:type="dxa" w:w="4682"/>
            <w:tcBorders>
              <w:top w:val="single" w:color="4f81bd" w:sz="8" w:space="0" w:shadow="0" w:frame="0"/>
              <w:left w:val="nil"/>
              <w:bottom w:val="single" w:color="4f81bd" w:sz="8" w:space="0" w:shadow="0" w:frame="0"/>
              <w:right w:val="nil"/>
            </w:tcBorders>
            <w:shd w:val="clear" w:color="auto" w:fill="auto"/>
            <w:tcMar>
              <w:top w:type="dxa" w:w="80"/>
              <w:left w:type="dxa" w:w="80"/>
              <w:bottom w:type="dxa" w:w="80"/>
              <w:right w:type="dxa" w:w="80"/>
            </w:tcMar>
            <w:vAlign w:val="center"/>
          </w:tcPr>
          <w:p>
            <w:pPr>
              <w:pStyle w:val="Body"/>
            </w:pPr>
            <w:r>
              <w:rPr>
                <w:rFonts w:ascii="Calibri" w:cs="Arial Unicode MS" w:hAnsi="Arial Unicode MS" w:eastAsia="Arial Unicode MS"/>
                <w:b w:val="1"/>
                <w:bCs w:val="1"/>
                <w:caps w:val="0"/>
                <w:smallCaps w:val="0"/>
                <w:strike w:val="0"/>
                <w:dstrike w:val="0"/>
                <w:outline w:val="0"/>
                <w:color w:val="000000"/>
                <w:spacing w:val="0"/>
                <w:kern w:val="0"/>
                <w:position w:val="0"/>
                <w:sz w:val="22"/>
                <w:szCs w:val="22"/>
                <w:u w:val="none" w:color="000000"/>
                <w:vertAlign w:val="baseline"/>
                <w:rtl w:val="0"/>
                <w:lang w:val="en-US"/>
              </w:rPr>
              <w:t>Connected in Motion</w:t>
            </w:r>
            <w:r>
              <w:rPr>
                <w:b w:val="1"/>
                <w:bCs w:val="1"/>
                <w:caps w:val="0"/>
                <w:smallCaps w:val="0"/>
                <w:strike w:val="0"/>
                <w:dstrike w:val="0"/>
                <w:outline w:val="0"/>
                <w:color w:val="000000"/>
                <w:spacing w:val="0"/>
                <w:kern w:val="0"/>
                <w:position w:val="0"/>
                <w:sz w:val="22"/>
                <w:szCs w:val="22"/>
                <w:u w:val="none" w:color="000000"/>
                <w:vertAlign w:val="baseline"/>
                <w:rtl w:val="0"/>
                <w:lang w:val="en-US"/>
              </w:rPr>
              <w:br w:type="textWrapping"/>
            </w:r>
            <w:r>
              <w:rPr>
                <w:rFonts w:ascii="Calibri" w:cs="Arial Unicode MS" w:hAnsi="Arial Unicode MS" w:eastAsia="Arial Unicode MS"/>
                <w:b w:val="1"/>
                <w:bCs w:val="1"/>
                <w:caps w:val="0"/>
                <w:smallCaps w:val="0"/>
                <w:strike w:val="0"/>
                <w:dstrike w:val="0"/>
                <w:outline w:val="0"/>
                <w:color w:val="000000"/>
                <w:spacing w:val="0"/>
                <w:kern w:val="0"/>
                <w:position w:val="0"/>
                <w:sz w:val="22"/>
                <w:szCs w:val="22"/>
                <w:u w:val="none" w:color="000000"/>
                <w:vertAlign w:val="baseline"/>
                <w:rtl w:val="0"/>
                <w:lang w:val="en-US"/>
              </w:rPr>
              <w:t>(CIM)</w:t>
            </w:r>
          </w:p>
        </w:tc>
      </w:tr>
      <w:tr>
        <w:tblPrEx>
          <w:shd w:val="clear" w:color="auto" w:fill="auto"/>
        </w:tblPrEx>
        <w:trPr>
          <w:trHeight w:val="272" w:hRule="atLeast"/>
        </w:trPr>
        <w:tc>
          <w:tcPr>
            <w:tcW w:type="dxa" w:w="4678"/>
            <w:tcBorders>
              <w:top w:val="single" w:color="4f81bd" w:sz="8" w:space="0" w:shadow="0" w:frame="0"/>
              <w:left w:val="nil"/>
              <w:bottom w:val="nil"/>
              <w:right w:val="nil"/>
            </w:tcBorders>
            <w:shd w:val="clear" w:color="auto" w:fill="d3dfee"/>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Engagement Manager, Conrad Lochovsky</w:t>
            </w:r>
          </w:p>
        </w:tc>
        <w:tc>
          <w:tcPr>
            <w:tcW w:type="dxa" w:w="4682"/>
            <w:tcBorders>
              <w:top w:val="single" w:color="4f81bd" w:sz="8" w:space="0" w:shadow="0" w:frame="0"/>
              <w:left w:val="nil"/>
              <w:bottom w:val="nil"/>
              <w:right w:val="nil"/>
            </w:tcBorders>
            <w:shd w:val="clear" w:color="auto" w:fill="d3dfee"/>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Executive director, Jen Hanson</w:t>
            </w:r>
          </w:p>
        </w:tc>
      </w:tr>
      <w:tr>
        <w:tblPrEx>
          <w:shd w:val="clear" w:color="auto" w:fill="auto"/>
        </w:tblPrEx>
        <w:trPr>
          <w:trHeight w:val="272" w:hRule="atLeast"/>
        </w:trPr>
        <w:tc>
          <w:tcPr>
            <w:tcW w:type="dxa" w:w="467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Senior Consultant, Rocio Laredo</w:t>
            </w:r>
          </w:p>
        </w:tc>
        <w:tc>
          <w:tcPr>
            <w:tcW w:type="dxa" w:w="468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nil"/>
              <w:right w:val="nil"/>
            </w:tcBorders>
            <w:shd w:val="clear" w:color="auto" w:fill="d3dfee"/>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Senior Consultant, Alexander Wai</w:t>
            </w:r>
          </w:p>
        </w:tc>
        <w:tc>
          <w:tcPr>
            <w:tcW w:type="dxa" w:w="4682"/>
            <w:tcBorders>
              <w:top w:val="nil"/>
              <w:left w:val="nil"/>
              <w:bottom w:val="nil"/>
              <w:right w:val="nil"/>
            </w:tcBorders>
            <w:shd w:val="clear" w:color="auto" w:fill="d3dfee"/>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Consultant, Albert Albert</w:t>
            </w:r>
          </w:p>
        </w:tc>
        <w:tc>
          <w:tcPr>
            <w:tcW w:type="dxa" w:w="468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nil"/>
              <w:right w:val="nil"/>
            </w:tcBorders>
            <w:shd w:val="clear" w:color="auto" w:fill="d3dfee"/>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Consultant, Jesse Firempong</w:t>
            </w:r>
          </w:p>
        </w:tc>
        <w:tc>
          <w:tcPr>
            <w:tcW w:type="dxa" w:w="4682"/>
            <w:tcBorders>
              <w:top w:val="nil"/>
              <w:left w:val="nil"/>
              <w:bottom w:val="nil"/>
              <w:right w:val="nil"/>
            </w:tcBorders>
            <w:shd w:val="clear" w:color="auto" w:fill="d3dfee"/>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Consultant, Tanisha Nathoo</w:t>
            </w:r>
          </w:p>
        </w:tc>
        <w:tc>
          <w:tcPr>
            <w:tcW w:type="dxa" w:w="468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nil"/>
              <w:right w:val="nil"/>
            </w:tcBorders>
            <w:shd w:val="clear" w:color="auto" w:fill="d3dfee"/>
            <w:tcMar>
              <w:top w:type="dxa" w:w="80"/>
              <w:left w:type="dxa" w:w="80"/>
              <w:bottom w:type="dxa" w:w="80"/>
              <w:right w:type="dxa" w:w="80"/>
            </w:tcMar>
            <w:vAlign w:val="top"/>
          </w:tcPr>
          <w:p>
            <w:pPr>
              <w:pStyle w:val="Body"/>
              <w:spacing w:after="0" w:line="240" w:lineRule="auto"/>
            </w:pPr>
            <w:r>
              <w:rPr>
                <w:i w:val="1"/>
                <w:iCs w:val="1"/>
                <w:caps w:val="0"/>
                <w:smallCaps w:val="0"/>
                <w:strike w:val="0"/>
                <w:dstrike w:val="0"/>
                <w:outline w:val="0"/>
                <w:color w:val="000000"/>
                <w:spacing w:val="0"/>
                <w:kern w:val="0"/>
                <w:position w:val="0"/>
                <w:sz w:val="22"/>
                <w:szCs w:val="22"/>
                <w:u w:val="none" w:color="000000"/>
                <w:vertAlign w:val="baseline"/>
                <w:rtl w:val="0"/>
                <w:lang w:val="en-US"/>
              </w:rPr>
              <w:t>Consultant, Yuri Yatsenko</w:t>
            </w:r>
          </w:p>
        </w:tc>
        <w:tc>
          <w:tcPr>
            <w:tcW w:type="dxa" w:w="4682"/>
            <w:tcBorders>
              <w:top w:val="nil"/>
              <w:left w:val="nil"/>
              <w:bottom w:val="nil"/>
              <w:right w:val="nil"/>
            </w:tcBorders>
            <w:shd w:val="clear" w:color="auto" w:fill="d3dfee"/>
            <w:tcMar>
              <w:top w:type="dxa" w:w="80"/>
              <w:left w:type="dxa" w:w="80"/>
              <w:bottom w:type="dxa" w:w="80"/>
              <w:right w:type="dxa" w:w="80"/>
            </w:tcMar>
            <w:vAlign w:val="top"/>
          </w:tcPr>
          <w:p/>
        </w:tc>
      </w:tr>
      <w:tr>
        <w:tblPrEx>
          <w:shd w:val="clear" w:color="auto" w:fill="auto"/>
        </w:tblPrEx>
        <w:trPr>
          <w:trHeight w:val="272" w:hRule="atLeast"/>
        </w:trPr>
        <w:tc>
          <w:tcPr>
            <w:tcW w:type="dxa" w:w="4678"/>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pPr>
              <w:pStyle w:val="Body"/>
              <w:spacing w:line="240" w:lineRule="auto"/>
              <w:jc w:val="both"/>
            </w:pPr>
            <w:r>
              <w:rPr>
                <w:i w:val="1"/>
                <w:iCs w:val="1"/>
                <w:caps w:val="0"/>
                <w:smallCaps w:val="0"/>
                <w:strike w:val="0"/>
                <w:dstrike w:val="0"/>
                <w:outline w:val="0"/>
                <w:color w:val="000000"/>
                <w:spacing w:val="0"/>
                <w:kern w:val="0"/>
                <w:position w:val="0"/>
                <w:sz w:val="22"/>
                <w:szCs w:val="22"/>
                <w:u w:val="none" w:color="000000"/>
                <w:vertAlign w:val="baseline"/>
                <w:rtl w:val="0"/>
                <w:lang w:val="en-US"/>
              </w:rPr>
              <w:t>Project Advisor, Richard Harbridge</w:t>
            </w:r>
          </w:p>
        </w:tc>
        <w:tc>
          <w:tcPr>
            <w:tcW w:type="dxa" w:w="4682"/>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w:widowControl w:val="0"/>
        <w:spacing w:line="240" w:lineRule="auto"/>
        <w:jc w:val="both"/>
        <w:rPr>
          <w:rtl w:val="0"/>
        </w:rPr>
      </w:pPr>
    </w:p>
    <w:p>
      <w:pPr>
        <w:pStyle w:val="Body"/>
        <w:jc w:val="both"/>
        <w:rPr>
          <w:rtl w:val="0"/>
        </w:rPr>
      </w:pPr>
    </w:p>
    <w:p>
      <w:pPr>
        <w:pStyle w:val="Body"/>
        <w:jc w:val="both"/>
      </w:pPr>
      <w:r>
        <w:rPr>
          <w:rtl w:val="0"/>
        </w:rPr>
        <w:br w:type="page"/>
      </w:r>
    </w:p>
    <w:p>
      <w:pPr>
        <w:pStyle w:val="Body"/>
        <w:jc w:val="both"/>
        <w:rPr>
          <w:rtl w:val="0"/>
        </w:rPr>
      </w:pPr>
    </w:p>
    <w:p>
      <w:pPr>
        <w:pStyle w:val="Heading"/>
        <w:numPr>
          <w:ilvl w:val="0"/>
          <w:numId w:val="10"/>
        </w:numPr>
        <w:tabs>
          <w:tab w:val="num" w:pos="720"/>
          <w:tab w:val="clear" w:pos="0"/>
        </w:tabs>
        <w:ind w:left="432" w:firstLine="0"/>
        <w:jc w:val="both"/>
        <w:rPr>
          <w:position w:val="0"/>
          <w:rtl w:val="0"/>
        </w:rPr>
      </w:pPr>
      <w:bookmarkStart w:name="_Toc27" w:id="27"/>
      <w:r>
        <w:rPr>
          <w:rtl w:val="0"/>
          <w:lang w:val="fr-FR"/>
        </w:rPr>
        <w:t>About Endeavour</w:t>
      </w:r>
      <w:bookmarkEnd w:id="27"/>
    </w:p>
    <w:p>
      <w:pPr>
        <w:pStyle w:val="Body"/>
        <w:jc w:val="both"/>
        <w:rPr>
          <w:rtl w:val="0"/>
        </w:rPr>
      </w:pPr>
    </w:p>
    <w:p>
      <w:pPr>
        <w:pStyle w:val="Body"/>
        <w:jc w:val="both"/>
        <w:rPr>
          <w:rtl w:val="0"/>
        </w:rPr>
      </w:pPr>
      <w:r>
        <w:rPr>
          <w:rtl w:val="0"/>
          <w:lang w:val="en-US"/>
        </w:rPr>
        <w:t>Endeavour Volunteer Consulting for Non-Profits (Endeavour) is a registered Canadian charity that provides management consulting to improve organizational capacity and community impact. We focus on serving non-profit organizations that otherwise cannot afford professional consulting.</w:t>
      </w:r>
    </w:p>
    <w:p>
      <w:pPr>
        <w:pStyle w:val="Body"/>
        <w:jc w:val="both"/>
        <w:rPr>
          <w:rtl w:val="0"/>
        </w:rPr>
      </w:pPr>
      <w:r>
        <w:rPr>
          <w:rtl w:val="0"/>
          <w:lang w:val="en-US"/>
        </w:rPr>
        <w:t>Since 2007, Endeavour has recruited and managed more than 300 volunteers to provide management advice to more than 60 non-profit organizations in Ontario, helping communities in many areas, such as the arts, children and family services, disabilities, education, environment, healthcare, immigrant services, rural development, skills training, poverty relief, and youth development.</w:t>
      </w:r>
    </w:p>
    <w:p>
      <w:pPr>
        <w:pStyle w:val="Body"/>
        <w:jc w:val="both"/>
      </w:pPr>
      <w:r>
        <w:rPr>
          <w:rtl w:val="0"/>
          <w:lang w:val="en-US"/>
        </w:rPr>
        <w:t>Learn more about Endeavour at</w:t>
      </w:r>
      <w:r>
        <w:rPr>
          <w:rFonts w:hAnsi="Calibri" w:hint="default"/>
          <w:rtl w:val="0"/>
        </w:rPr>
        <w:t> </w:t>
      </w:r>
      <w:hyperlink r:id="rId7" w:history="1">
        <w:r>
          <w:rPr>
            <w:rStyle w:val="Hyperlink.0"/>
            <w:color w:val="5797b0"/>
            <w:u w:val="single" w:color="000000"/>
            <w:rtl w:val="0"/>
            <w:lang w:val="nl-NL"/>
          </w:rPr>
          <w:t>www.endeavourvolunteer.ca</w:t>
        </w:r>
      </w:hyperlink>
    </w:p>
    <w:sectPr>
      <w:headerReference w:type="default" r:id="rId8"/>
      <w:footerReference w:type="default" r:id="rId9"/>
      <w:pgSz w:w="12240" w:h="15840" w:orient="portrait"/>
      <w:pgMar w:top="216" w:right="1440" w:bottom="108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widowControl w:val="0"/>
    </w:pPr>
  </w:p>
  <w:p>
    <w:pPr>
      <w:pStyle w:val="Body"/>
      <w:widowControl w:val="0"/>
    </w:pPr>
  </w:p>
  <w:p>
    <w:pPr>
      <w:pStyle w:val="Body"/>
      <w:tabs>
        <w:tab w:val="center" w:pos="4320"/>
        <w:tab w:val="right" w:pos="8640"/>
      </w:tabs>
    </w:pPr>
    <w:r>
      <w:rPr>
        <w:sz w:val="12"/>
        <w:szCs w:val="12"/>
        <w:rtl w:val="0"/>
      </w:rPr>
      <w:t>ENDEAVOUR-KM-D101-909-R2</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widowControl w:val="0"/>
    </w:pPr>
    <w:r>
      <mc:AlternateContent>
        <mc:Choice Requires="wps">
          <w:drawing>
            <wp:anchor distT="152400" distB="152400" distL="152400" distR="152400" simplePos="0" relativeHeight="251658240" behindDoc="1" locked="0" layoutInCell="1" allowOverlap="1">
              <wp:simplePos x="0" y="0"/>
              <wp:positionH relativeFrom="page">
                <wp:posOffset>914400</wp:posOffset>
              </wp:positionH>
              <wp:positionV relativeFrom="page">
                <wp:posOffset>457200</wp:posOffset>
              </wp:positionV>
              <wp:extent cx="5943600" cy="5715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943600" cy="571500"/>
                      </a:xfrm>
                      <a:prstGeom prst="rect">
                        <a:avLst/>
                      </a:prstGeom>
                    </wps:spPr>
                    <wps:txbx>
                      <w:txbxContent>
                        <w:tbl>
                          <w:tblPr>
                            <w:tblW w:w="936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688"/>
                            <w:gridCol w:w="3672"/>
                          </w:tblGrid>
                          <w:tr>
                            <w:tblPrEx>
                              <w:shd w:val="clear" w:color="auto" w:fill="auto"/>
                            </w:tblPrEx>
                            <w:trPr>
                              <w:trHeight w:val="740" w:hRule="atLeast"/>
                            </w:trPr>
                            <w:tc>
                              <w:tcPr>
                                <w:tcW w:type="dxa" w:w="5688"/>
                                <w:tcBorders>
                                  <w:top w:val="nil"/>
                                  <w:left w:val="nil"/>
                                  <w:bottom w:val="single" w:color="365f91" w:sz="24" w:space="0" w:shadow="0" w:frame="0"/>
                                  <w:right w:val="nil"/>
                                </w:tcBorders>
                                <w:shd w:val="clear" w:color="auto" w:fill="auto"/>
                                <w:tcMar>
                                  <w:top w:type="dxa" w:w="80"/>
                                  <w:left w:type="dxa" w:w="80"/>
                                  <w:bottom w:type="dxa" w:w="80"/>
                                  <w:right w:type="dxa" w:w="80"/>
                                </w:tcMar>
                                <w:vAlign w:val="center"/>
                              </w:tcPr>
                              <w:p/>
                            </w:tc>
                            <w:tc>
                              <w:tcPr>
                                <w:tcW w:type="dxa" w:w="3672"/>
                                <w:tcBorders>
                                  <w:top w:val="nil"/>
                                  <w:left w:val="nil"/>
                                  <w:bottom w:val="single" w:color="365f91" w:sz="24" w:space="0" w:shadow="0" w:frame="0"/>
                                  <w:right w:val="nil"/>
                                </w:tcBorders>
                                <w:shd w:val="clear" w:color="auto" w:fill="auto"/>
                                <w:tcMar>
                                  <w:top w:type="dxa" w:w="80"/>
                                  <w:left w:type="dxa" w:w="511"/>
                                  <w:bottom w:type="dxa" w:w="80"/>
                                  <w:right w:type="dxa" w:w="80"/>
                                </w:tcMar>
                                <w:vAlign w:val="center"/>
                              </w:tcPr>
                              <w:p>
                                <w:pPr>
                                  <w:pStyle w:val="Heading"/>
                                  <w:spacing w:before="0"/>
                                  <w:ind w:left="432" w:hanging="431"/>
                                  <w:jc w:val="center"/>
                                </w:pPr>
                                <w:r>
                                  <w:rPr>
                                    <w:rFonts w:ascii="Georgia"/>
                                    <w:b w:val="0"/>
                                    <w:bCs w:val="0"/>
                                    <w:smallCaps w:val="1"/>
                                    <w:strike w:val="0"/>
                                    <w:dstrike w:val="0"/>
                                    <w:outline w:val="0"/>
                                    <w:color w:val="365f91"/>
                                    <w:spacing w:val="0"/>
                                    <w:kern w:val="0"/>
                                    <w:position w:val="0"/>
                                    <w:sz w:val="36"/>
                                    <w:szCs w:val="36"/>
                                    <w:u w:val="none" w:color="000000"/>
                                    <w:vertAlign w:val="superscript"/>
                                    <w:rtl w:val="0"/>
                                    <w:lang w:val="en-US"/>
                                  </w:rPr>
                                  <w:t>Statement of Work</w:t>
                                </w:r>
                              </w:p>
                            </w:tc>
                          </w:tr>
                        </w:tbl>
                      </w:txbxContent>
                    </wps:txbx>
                    <wps:bodyPr lIns="0" tIns="0" rIns="0" bIns="0">
                      <a:spAutoFit/>
                    </wps:bodyPr>
                  </wps:wsp>
                </a:graphicData>
              </a:graphic>
            </wp:anchor>
          </w:drawing>
        </mc:Choice>
        <mc:Fallback>
          <w:pict>
            <v:shape id="_x0000_s1026" type="#_x0000_t202" style="visibility:visible;position:absolute;margin-left:72.0pt;margin-top:36.0pt;width:468.0pt;height:45.0pt;z-index:-2516582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36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688"/>
                      <w:gridCol w:w="3672"/>
                    </w:tblGrid>
                    <w:tr>
                      <w:tblPrEx>
                        <w:shd w:val="clear" w:color="auto" w:fill="auto"/>
                      </w:tblPrEx>
                      <w:trPr>
                        <w:trHeight w:val="740" w:hRule="atLeast"/>
                      </w:trPr>
                      <w:tc>
                        <w:tcPr>
                          <w:tcW w:type="dxa" w:w="5688"/>
                          <w:tcBorders>
                            <w:top w:val="nil"/>
                            <w:left w:val="nil"/>
                            <w:bottom w:val="single" w:color="365f91" w:sz="24" w:space="0" w:shadow="0" w:frame="0"/>
                            <w:right w:val="nil"/>
                          </w:tcBorders>
                          <w:shd w:val="clear" w:color="auto" w:fill="auto"/>
                          <w:tcMar>
                            <w:top w:type="dxa" w:w="80"/>
                            <w:left w:type="dxa" w:w="80"/>
                            <w:bottom w:type="dxa" w:w="80"/>
                            <w:right w:type="dxa" w:w="80"/>
                          </w:tcMar>
                          <w:vAlign w:val="center"/>
                        </w:tcPr>
                        <w:p/>
                      </w:tc>
                      <w:tc>
                        <w:tcPr>
                          <w:tcW w:type="dxa" w:w="3672"/>
                          <w:tcBorders>
                            <w:top w:val="nil"/>
                            <w:left w:val="nil"/>
                            <w:bottom w:val="single" w:color="365f91" w:sz="24" w:space="0" w:shadow="0" w:frame="0"/>
                            <w:right w:val="nil"/>
                          </w:tcBorders>
                          <w:shd w:val="clear" w:color="auto" w:fill="auto"/>
                          <w:tcMar>
                            <w:top w:type="dxa" w:w="80"/>
                            <w:left w:type="dxa" w:w="511"/>
                            <w:bottom w:type="dxa" w:w="80"/>
                            <w:right w:type="dxa" w:w="80"/>
                          </w:tcMar>
                          <w:vAlign w:val="center"/>
                        </w:tcPr>
                        <w:p>
                          <w:pPr>
                            <w:pStyle w:val="Heading"/>
                            <w:spacing w:before="0"/>
                            <w:ind w:left="432" w:hanging="431"/>
                            <w:jc w:val="center"/>
                          </w:pPr>
                          <w:r>
                            <w:rPr>
                              <w:rFonts w:ascii="Georgia"/>
                              <w:b w:val="0"/>
                              <w:bCs w:val="0"/>
                              <w:smallCaps w:val="1"/>
                              <w:strike w:val="0"/>
                              <w:dstrike w:val="0"/>
                              <w:outline w:val="0"/>
                              <w:color w:val="365f91"/>
                              <w:spacing w:val="0"/>
                              <w:kern w:val="0"/>
                              <w:position w:val="0"/>
                              <w:sz w:val="36"/>
                              <w:szCs w:val="36"/>
                              <w:u w:val="none" w:color="000000"/>
                              <w:vertAlign w:val="superscript"/>
                              <w:rtl w:val="0"/>
                              <w:lang w:val="en-US"/>
                            </w:rPr>
                            <w:t>Statement of Work</w:t>
                          </w:r>
                        </w:p>
                      </w:tc>
                    </w:tr>
                  </w:tbl>
                </w:txbxContent>
              </v:textbox>
              <w10:wrap type="none" side="bothSides" anchorx="page" anchory="page"/>
            </v:shap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914400</wp:posOffset>
              </wp:positionH>
              <wp:positionV relativeFrom="page">
                <wp:posOffset>8642350</wp:posOffset>
              </wp:positionV>
              <wp:extent cx="5943600" cy="27305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943600" cy="273050"/>
                      </a:xfrm>
                      <a:prstGeom prst="rect">
                        <a:avLst/>
                      </a:prstGeom>
                    </wps:spPr>
                    <wps:txbx>
                      <w:txbxContent>
                        <w:tbl>
                          <w:tblPr>
                            <w:tblW w:w="936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245"/>
                            <w:gridCol w:w="2737"/>
                            <w:gridCol w:w="1378"/>
                          </w:tblGrid>
                          <w:tr>
                            <w:tblPrEx>
                              <w:shd w:val="clear" w:color="auto" w:fill="auto"/>
                            </w:tblPrEx>
                            <w:trPr>
                              <w:trHeight w:val="275" w:hRule="atLeast"/>
                            </w:trPr>
                            <w:tc>
                              <w:tcPr>
                                <w:tcW w:type="dxa" w:w="5245"/>
                                <w:tcBorders>
                                  <w:top w:val="single" w:color="000000" w:sz="12" w:space="0" w:shadow="0" w:frame="0"/>
                                  <w:left w:val="nil"/>
                                  <w:bottom w:val="nil"/>
                                  <w:right w:val="nil"/>
                                </w:tcBorders>
                                <w:shd w:val="clear" w:color="auto" w:fill="d9d9d9"/>
                                <w:tcMar>
                                  <w:top w:type="dxa" w:w="80"/>
                                  <w:left w:type="dxa" w:w="80"/>
                                  <w:bottom w:type="dxa" w:w="80"/>
                                  <w:right w:type="dxa" w:w="80"/>
                                </w:tcMar>
                                <w:vAlign w:val="center"/>
                              </w:tcPr>
                              <w:p>
                                <w:pPr>
                                  <w:pStyle w:val="Body"/>
                                  <w:tabs>
                                    <w:tab w:val="center" w:pos="4320"/>
                                    <w:tab w:val="right" w:pos="8640"/>
                                  </w:tabs>
                                  <w:spacing w:after="0" w:line="240" w:lineRule="auto"/>
                                  <w:jc w:val="center"/>
                                </w:pPr>
                                <w:r>
                                  <w:rPr>
                                    <w:b w:val="1"/>
                                    <w:bCs w:val="1"/>
                                    <w:smallCaps w:val="1"/>
                                    <w:strike w:val="0"/>
                                    <w:dstrike w:val="0"/>
                                    <w:outline w:val="0"/>
                                    <w:color w:val="262626"/>
                                    <w:spacing w:val="0"/>
                                    <w:kern w:val="0"/>
                                    <w:position w:val="0"/>
                                    <w:sz w:val="16"/>
                                    <w:szCs w:val="16"/>
                                    <w:u w:val="none" w:color="000000"/>
                                    <w:vertAlign w:val="baseline"/>
                                    <w:rtl w:val="0"/>
                                    <w:lang w:val="en-US"/>
                                  </w:rPr>
                                  <w:t xml:space="preserve"> ENDEAVOUR VOLUNTEER CONSULTING FOR NON-PROFITS (ENDEAVOUR)</w:t>
                                </w:r>
                              </w:p>
                            </w:tc>
                            <w:tc>
                              <w:tcPr>
                                <w:tcW w:type="dxa" w:w="2737"/>
                                <w:tcBorders>
                                  <w:top w:val="single" w:color="000000" w:sz="12" w:space="0" w:shadow="0" w:frame="0"/>
                                  <w:left w:val="nil"/>
                                  <w:bottom w:val="nil"/>
                                  <w:right w:val="nil"/>
                                </w:tcBorders>
                                <w:shd w:val="clear" w:color="auto" w:fill="808080"/>
                                <w:tcMar>
                                  <w:top w:type="dxa" w:w="80"/>
                                  <w:left w:type="dxa" w:w="80"/>
                                  <w:bottom w:type="dxa" w:w="80"/>
                                  <w:right w:type="dxa" w:w="80"/>
                                </w:tcMar>
                                <w:vAlign w:val="center"/>
                              </w:tcPr>
                              <w:p>
                                <w:pPr>
                                  <w:pStyle w:val="Body"/>
                                  <w:tabs>
                                    <w:tab w:val="center" w:pos="4320"/>
                                    <w:tab w:val="right" w:pos="8640"/>
                                  </w:tabs>
                                  <w:spacing w:after="0" w:line="240" w:lineRule="auto"/>
                                  <w:jc w:val="center"/>
                                </w:pPr>
                                <w:r>
                                  <w:rPr>
                                    <w:b w:val="1"/>
                                    <w:bCs w:val="1"/>
                                    <w:caps w:val="0"/>
                                    <w:smallCaps w:val="0"/>
                                    <w:strike w:val="0"/>
                                    <w:dstrike w:val="0"/>
                                    <w:outline w:val="0"/>
                                    <w:color w:val="ffffff"/>
                                    <w:spacing w:val="0"/>
                                    <w:kern w:val="0"/>
                                    <w:position w:val="0"/>
                                    <w:sz w:val="16"/>
                                    <w:szCs w:val="16"/>
                                    <w:u w:val="none" w:color="000000"/>
                                    <w:vertAlign w:val="baseline"/>
                                    <w:rtl w:val="0"/>
                                    <w:lang w:val="en-US"/>
                                  </w:rPr>
                                  <w:t>volunteer@endeavourvolunteer.ca</w:t>
                                </w:r>
                              </w:p>
                            </w:tc>
                            <w:tc>
                              <w:tcPr>
                                <w:tcW w:type="dxa" w:w="1378"/>
                                <w:tcBorders>
                                  <w:top w:val="single" w:color="000000" w:sz="12" w:space="0" w:shadow="0" w:frame="0"/>
                                  <w:left w:val="nil"/>
                                  <w:bottom w:val="nil"/>
                                  <w:right w:val="nil"/>
                                </w:tcBorders>
                                <w:shd w:val="clear" w:color="auto" w:fill="262626"/>
                                <w:tcMar>
                                  <w:top w:type="dxa" w:w="80"/>
                                  <w:left w:type="dxa" w:w="80"/>
                                  <w:bottom w:type="dxa" w:w="80"/>
                                  <w:right w:type="dxa" w:w="80"/>
                                </w:tcMar>
                                <w:vAlign w:val="center"/>
                              </w:tcPr>
                              <w:p>
                                <w:pPr>
                                  <w:pStyle w:val="Body"/>
                                  <w:spacing w:after="0" w:line="240" w:lineRule="auto"/>
                                  <w:jc w:val="center"/>
                                </w:pP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Page </w:t>
                                </w:r>
                                <w:r>
                                  <w:rPr>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caps w:val="0"/>
                                    <w:smallCaps w:val="0"/>
                                    <w:strike w:val="0"/>
                                    <w:dstrike w:val="0"/>
                                    <w:outline w:val="0"/>
                                    <w:color w:val="000000"/>
                                    <w:spacing w:val="0"/>
                                    <w:kern w:val="0"/>
                                    <w:position w:val="0"/>
                                    <w:sz w:val="22"/>
                                    <w:szCs w:val="22"/>
                                    <w:u w:val="none" w:color="000000"/>
                                    <w:vertAlign w:val="baseline"/>
                                    <w:rtl w:val="0"/>
                                    <w:lang w:val="en-US"/>
                                  </w:rPr>
                                  <w:t xml:space="preserve"> PAGE </w:t>
                                </w:r>
                                <w:r>
                                  <w:rPr>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caps w:val="0"/>
                                    <w:smallCaps w:val="0"/>
                                    <w:strike w:val="0"/>
                                    <w:dstrike w:val="0"/>
                                    <w:outline w:val="0"/>
                                    <w:color w:val="000000"/>
                                    <w:spacing w:val="0"/>
                                    <w:kern w:val="0"/>
                                    <w:position w:val="0"/>
                                    <w:sz w:val="22"/>
                                    <w:szCs w:val="22"/>
                                    <w:u w:val="none" w:color="000000"/>
                                    <w:vertAlign w:val="baseline"/>
                                    <w:rtl w:val="0"/>
                                    <w:lang w:val="en-US"/>
                                  </w:rPr>
                                  <w:t>1</w:t>
                                </w:r>
                                <w:r>
                                  <w:rPr>
                                    <w:caps w:val="0"/>
                                    <w:smallCaps w:val="0"/>
                                    <w:strike w:val="0"/>
                                    <w:dstrike w:val="0"/>
                                    <w:outline w:val="0"/>
                                    <w:color w:val="000000"/>
                                    <w:spacing w:val="0"/>
                                    <w:kern w:val="0"/>
                                    <w:position w:val="0"/>
                                    <w:sz w:val="22"/>
                                    <w:szCs w:val="22"/>
                                    <w:u w:val="none" w:color="000000"/>
                                    <w:vertAlign w:val="baseline"/>
                                    <w:rtl w:val="0"/>
                                    <w:lang w:val="en-US"/>
                                  </w:rPr>
                                  <w:fldChar w:fldCharType="end"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 of </w:t>
                                </w:r>
                                <w:r>
                                  <w:rPr>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caps w:val="0"/>
                                    <w:smallCaps w:val="0"/>
                                    <w:strike w:val="0"/>
                                    <w:dstrike w:val="0"/>
                                    <w:outline w:val="0"/>
                                    <w:color w:val="000000"/>
                                    <w:spacing w:val="0"/>
                                    <w:kern w:val="0"/>
                                    <w:position w:val="0"/>
                                    <w:sz w:val="22"/>
                                    <w:szCs w:val="22"/>
                                    <w:u w:val="none" w:color="000000"/>
                                    <w:vertAlign w:val="baseline"/>
                                    <w:rtl w:val="0"/>
                                    <w:lang w:val="en-US"/>
                                  </w:rPr>
                                  <w:t xml:space="preserve"> NUMPAGES </w:t>
                                </w:r>
                                <w:r>
                                  <w:rPr>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caps w:val="0"/>
                                    <w:smallCaps w:val="0"/>
                                    <w:strike w:val="0"/>
                                    <w:dstrike w:val="0"/>
                                    <w:outline w:val="0"/>
                                    <w:color w:val="000000"/>
                                    <w:spacing w:val="0"/>
                                    <w:kern w:val="0"/>
                                    <w:position w:val="0"/>
                                    <w:sz w:val="22"/>
                                    <w:szCs w:val="22"/>
                                    <w:u w:val="none" w:color="000000"/>
                                    <w:vertAlign w:val="baseline"/>
                                    <w:rtl w:val="0"/>
                                    <w:lang w:val="en-US"/>
                                  </w:rPr>
                                  <w:t>1</w:t>
                                </w:r>
                                <w:r>
                                  <w:rPr>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tc>
                          </w:tr>
                        </w:tbl>
                      </w:txbxContent>
                    </wps:txbx>
                    <wps:bodyPr lIns="0" tIns="0" rIns="0" bIns="0">
                      <a:spAutoFit/>
                    </wps:bodyPr>
                  </wps:wsp>
                </a:graphicData>
              </a:graphic>
            </wp:anchor>
          </w:drawing>
        </mc:Choice>
        <mc:Fallback>
          <w:pict>
            <v:shape id="_x0000_s1027" type="#_x0000_t202" style="visibility:visible;position:absolute;margin-left:72.0pt;margin-top:680.5pt;width:468.0pt;height:21.5pt;z-index:-2516572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36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245"/>
                      <w:gridCol w:w="2737"/>
                      <w:gridCol w:w="1378"/>
                    </w:tblGrid>
                    <w:tr>
                      <w:tblPrEx>
                        <w:shd w:val="clear" w:color="auto" w:fill="auto"/>
                      </w:tblPrEx>
                      <w:trPr>
                        <w:trHeight w:val="275" w:hRule="atLeast"/>
                      </w:trPr>
                      <w:tc>
                        <w:tcPr>
                          <w:tcW w:type="dxa" w:w="5245"/>
                          <w:tcBorders>
                            <w:top w:val="single" w:color="000000" w:sz="12" w:space="0" w:shadow="0" w:frame="0"/>
                            <w:left w:val="nil"/>
                            <w:bottom w:val="nil"/>
                            <w:right w:val="nil"/>
                          </w:tcBorders>
                          <w:shd w:val="clear" w:color="auto" w:fill="d9d9d9"/>
                          <w:tcMar>
                            <w:top w:type="dxa" w:w="80"/>
                            <w:left w:type="dxa" w:w="80"/>
                            <w:bottom w:type="dxa" w:w="80"/>
                            <w:right w:type="dxa" w:w="80"/>
                          </w:tcMar>
                          <w:vAlign w:val="center"/>
                        </w:tcPr>
                        <w:p>
                          <w:pPr>
                            <w:pStyle w:val="Body"/>
                            <w:tabs>
                              <w:tab w:val="center" w:pos="4320"/>
                              <w:tab w:val="right" w:pos="8640"/>
                            </w:tabs>
                            <w:spacing w:after="0" w:line="240" w:lineRule="auto"/>
                            <w:jc w:val="center"/>
                          </w:pPr>
                          <w:r>
                            <w:rPr>
                              <w:b w:val="1"/>
                              <w:bCs w:val="1"/>
                              <w:smallCaps w:val="1"/>
                              <w:strike w:val="0"/>
                              <w:dstrike w:val="0"/>
                              <w:outline w:val="0"/>
                              <w:color w:val="262626"/>
                              <w:spacing w:val="0"/>
                              <w:kern w:val="0"/>
                              <w:position w:val="0"/>
                              <w:sz w:val="16"/>
                              <w:szCs w:val="16"/>
                              <w:u w:val="none" w:color="000000"/>
                              <w:vertAlign w:val="baseline"/>
                              <w:rtl w:val="0"/>
                              <w:lang w:val="en-US"/>
                            </w:rPr>
                            <w:t xml:space="preserve"> ENDEAVOUR VOLUNTEER CONSULTING FOR NON-PROFITS (ENDEAVOUR)</w:t>
                          </w:r>
                        </w:p>
                      </w:tc>
                      <w:tc>
                        <w:tcPr>
                          <w:tcW w:type="dxa" w:w="2737"/>
                          <w:tcBorders>
                            <w:top w:val="single" w:color="000000" w:sz="12" w:space="0" w:shadow="0" w:frame="0"/>
                            <w:left w:val="nil"/>
                            <w:bottom w:val="nil"/>
                            <w:right w:val="nil"/>
                          </w:tcBorders>
                          <w:shd w:val="clear" w:color="auto" w:fill="808080"/>
                          <w:tcMar>
                            <w:top w:type="dxa" w:w="80"/>
                            <w:left w:type="dxa" w:w="80"/>
                            <w:bottom w:type="dxa" w:w="80"/>
                            <w:right w:type="dxa" w:w="80"/>
                          </w:tcMar>
                          <w:vAlign w:val="center"/>
                        </w:tcPr>
                        <w:p>
                          <w:pPr>
                            <w:pStyle w:val="Body"/>
                            <w:tabs>
                              <w:tab w:val="center" w:pos="4320"/>
                              <w:tab w:val="right" w:pos="8640"/>
                            </w:tabs>
                            <w:spacing w:after="0" w:line="240" w:lineRule="auto"/>
                            <w:jc w:val="center"/>
                          </w:pPr>
                          <w:r>
                            <w:rPr>
                              <w:b w:val="1"/>
                              <w:bCs w:val="1"/>
                              <w:caps w:val="0"/>
                              <w:smallCaps w:val="0"/>
                              <w:strike w:val="0"/>
                              <w:dstrike w:val="0"/>
                              <w:outline w:val="0"/>
                              <w:color w:val="ffffff"/>
                              <w:spacing w:val="0"/>
                              <w:kern w:val="0"/>
                              <w:position w:val="0"/>
                              <w:sz w:val="16"/>
                              <w:szCs w:val="16"/>
                              <w:u w:val="none" w:color="000000"/>
                              <w:vertAlign w:val="baseline"/>
                              <w:rtl w:val="0"/>
                              <w:lang w:val="en-US"/>
                            </w:rPr>
                            <w:t>volunteer@endeavourvolunteer.ca</w:t>
                          </w:r>
                        </w:p>
                      </w:tc>
                      <w:tc>
                        <w:tcPr>
                          <w:tcW w:type="dxa" w:w="1378"/>
                          <w:tcBorders>
                            <w:top w:val="single" w:color="000000" w:sz="12" w:space="0" w:shadow="0" w:frame="0"/>
                            <w:left w:val="nil"/>
                            <w:bottom w:val="nil"/>
                            <w:right w:val="nil"/>
                          </w:tcBorders>
                          <w:shd w:val="clear" w:color="auto" w:fill="262626"/>
                          <w:tcMar>
                            <w:top w:type="dxa" w:w="80"/>
                            <w:left w:type="dxa" w:w="80"/>
                            <w:bottom w:type="dxa" w:w="80"/>
                            <w:right w:type="dxa" w:w="80"/>
                          </w:tcMar>
                          <w:vAlign w:val="center"/>
                        </w:tcPr>
                        <w:p>
                          <w:pPr>
                            <w:pStyle w:val="Body"/>
                            <w:spacing w:after="0" w:line="240" w:lineRule="auto"/>
                            <w:jc w:val="center"/>
                          </w:pP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Page </w:t>
                          </w:r>
                          <w:r>
                            <w:rPr>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caps w:val="0"/>
                              <w:smallCaps w:val="0"/>
                              <w:strike w:val="0"/>
                              <w:dstrike w:val="0"/>
                              <w:outline w:val="0"/>
                              <w:color w:val="000000"/>
                              <w:spacing w:val="0"/>
                              <w:kern w:val="0"/>
                              <w:position w:val="0"/>
                              <w:sz w:val="22"/>
                              <w:szCs w:val="22"/>
                              <w:u w:val="none" w:color="000000"/>
                              <w:vertAlign w:val="baseline"/>
                              <w:rtl w:val="0"/>
                              <w:lang w:val="en-US"/>
                            </w:rPr>
                            <w:t xml:space="preserve"> PAGE </w:t>
                          </w:r>
                          <w:r>
                            <w:rPr>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caps w:val="0"/>
                              <w:smallCaps w:val="0"/>
                              <w:strike w:val="0"/>
                              <w:dstrike w:val="0"/>
                              <w:outline w:val="0"/>
                              <w:color w:val="000000"/>
                              <w:spacing w:val="0"/>
                              <w:kern w:val="0"/>
                              <w:position w:val="0"/>
                              <w:sz w:val="22"/>
                              <w:szCs w:val="22"/>
                              <w:u w:val="none" w:color="000000"/>
                              <w:vertAlign w:val="baseline"/>
                              <w:rtl w:val="0"/>
                              <w:lang w:val="en-US"/>
                            </w:rPr>
                            <w:t>1</w:t>
                          </w:r>
                          <w:r>
                            <w:rPr>
                              <w:caps w:val="0"/>
                              <w:smallCaps w:val="0"/>
                              <w:strike w:val="0"/>
                              <w:dstrike w:val="0"/>
                              <w:outline w:val="0"/>
                              <w:color w:val="000000"/>
                              <w:spacing w:val="0"/>
                              <w:kern w:val="0"/>
                              <w:position w:val="0"/>
                              <w:sz w:val="22"/>
                              <w:szCs w:val="22"/>
                              <w:u w:val="none" w:color="000000"/>
                              <w:vertAlign w:val="baseline"/>
                              <w:rtl w:val="0"/>
                              <w:lang w:val="en-US"/>
                            </w:rPr>
                            <w:fldChar w:fldCharType="end"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 of </w:t>
                          </w:r>
                          <w:r>
                            <w:rPr>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caps w:val="0"/>
                              <w:smallCaps w:val="0"/>
                              <w:strike w:val="0"/>
                              <w:dstrike w:val="0"/>
                              <w:outline w:val="0"/>
                              <w:color w:val="000000"/>
                              <w:spacing w:val="0"/>
                              <w:kern w:val="0"/>
                              <w:position w:val="0"/>
                              <w:sz w:val="22"/>
                              <w:szCs w:val="22"/>
                              <w:u w:val="none" w:color="000000"/>
                              <w:vertAlign w:val="baseline"/>
                              <w:rtl w:val="0"/>
                              <w:lang w:val="en-US"/>
                            </w:rPr>
                            <w:t xml:space="preserve"> NUMPAGES </w:t>
                          </w:r>
                          <w:r>
                            <w:rPr>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caps w:val="0"/>
                              <w:smallCaps w:val="0"/>
                              <w:strike w:val="0"/>
                              <w:dstrike w:val="0"/>
                              <w:outline w:val="0"/>
                              <w:color w:val="000000"/>
                              <w:spacing w:val="0"/>
                              <w:kern w:val="0"/>
                              <w:position w:val="0"/>
                              <w:sz w:val="22"/>
                              <w:szCs w:val="22"/>
                              <w:u w:val="none" w:color="000000"/>
                              <w:vertAlign w:val="baseline"/>
                              <w:rtl w:val="0"/>
                              <w:lang w:val="en-US"/>
                            </w:rPr>
                            <w:t>1</w:t>
                          </w:r>
                          <w:r>
                            <w:rPr>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tc>
                    </w:tr>
                  </w:tbl>
                </w:txbxContent>
              </v:textbox>
              <w10:wrap type="none" side="bothSides" anchorx="page" anchory="page"/>
            </v:shape>
          </w:pict>
        </mc:Fallback>
      </mc:AlternateContent>
    </w:r>
  </w:p>
  <w:p>
    <w:pPr>
      <w:pStyle w:val="Body"/>
      <w:widowControl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70"/>
          <w:tab w:val="clear" w:pos="0"/>
        </w:tabs>
        <w:ind w:left="370" w:hanging="22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76"/>
          <w:tab w:val="clear" w:pos="0"/>
        </w:tabs>
        <w:ind w:left="57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720"/>
          <w:tab w:val="clear" w:pos="0"/>
        </w:tabs>
        <w:ind w:left="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64"/>
          <w:tab w:val="clear" w:pos="0"/>
        </w:tabs>
        <w:ind w:left="86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008"/>
          <w:tab w:val="clear" w:pos="0"/>
        </w:tabs>
        <w:ind w:left="100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152"/>
          <w:tab w:val="clear" w:pos="0"/>
        </w:tabs>
        <w:ind w:left="11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296"/>
          <w:tab w:val="clear" w:pos="0"/>
        </w:tabs>
        <w:ind w:left="129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440"/>
          <w:tab w:val="clear" w:pos="0"/>
        </w:tabs>
        <w:ind w:left="1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84"/>
          <w:tab w:val="clear" w:pos="0"/>
        </w:tabs>
        <w:ind w:left="15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432"/>
          <w:tab w:val="clear" w:pos="0"/>
        </w:tabs>
        <w:ind w:left="43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76"/>
          <w:tab w:val="clear" w:pos="0"/>
        </w:tabs>
        <w:ind w:left="57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720"/>
          <w:tab w:val="clear" w:pos="0"/>
        </w:tabs>
        <w:ind w:left="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64"/>
          <w:tab w:val="clear" w:pos="0"/>
        </w:tabs>
        <w:ind w:left="86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008"/>
          <w:tab w:val="clear" w:pos="0"/>
        </w:tabs>
        <w:ind w:left="100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152"/>
          <w:tab w:val="clear" w:pos="0"/>
        </w:tabs>
        <w:ind w:left="11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296"/>
          <w:tab w:val="clear" w:pos="0"/>
        </w:tabs>
        <w:ind w:left="129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440"/>
          <w:tab w:val="clear" w:pos="0"/>
        </w:tabs>
        <w:ind w:left="1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84"/>
          <w:tab w:val="clear" w:pos="0"/>
        </w:tabs>
        <w:ind w:left="15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370"/>
          <w:tab w:val="clear" w:pos="0"/>
        </w:tabs>
        <w:ind w:left="370" w:hanging="22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76"/>
          <w:tab w:val="clear" w:pos="0"/>
        </w:tabs>
        <w:ind w:left="57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720"/>
          <w:tab w:val="clear" w:pos="0"/>
        </w:tabs>
        <w:ind w:left="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64"/>
          <w:tab w:val="clear" w:pos="0"/>
        </w:tabs>
        <w:ind w:left="86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008"/>
          <w:tab w:val="clear" w:pos="0"/>
        </w:tabs>
        <w:ind w:left="100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152"/>
          <w:tab w:val="clear" w:pos="0"/>
        </w:tabs>
        <w:ind w:left="11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296"/>
          <w:tab w:val="clear" w:pos="0"/>
        </w:tabs>
        <w:ind w:left="129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440"/>
          <w:tab w:val="clear" w:pos="0"/>
        </w:tabs>
        <w:ind w:left="1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84"/>
          <w:tab w:val="clear" w:pos="0"/>
        </w:tabs>
        <w:ind w:left="15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lvl w:ilvl="0">
      <w:start w:val="1"/>
      <w:numFmt w:val="decimal"/>
      <w:suff w:val="tab"/>
      <w:lvlText w:val="%1."/>
      <w:lvlJc w:val="left"/>
      <w:pPr>
        <w:tabs>
          <w:tab w:val="num" w:pos="652"/>
          <w:tab w:val="clear" w:pos="0"/>
        </w:tabs>
        <w:ind w:left="6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774"/>
          <w:tab w:val="clear" w:pos="0"/>
        </w:tabs>
        <w:ind w:left="774" w:hanging="1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940"/>
          <w:tab w:val="clear" w:pos="0"/>
        </w:tabs>
        <w:ind w:left="9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084"/>
          <w:tab w:val="clear" w:pos="0"/>
        </w:tabs>
        <w:ind w:left="10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28"/>
          <w:tab w:val="clear" w:pos="0"/>
        </w:tabs>
        <w:ind w:left="122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372"/>
          <w:tab w:val="clear" w:pos="0"/>
        </w:tabs>
        <w:ind w:left="13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16"/>
          <w:tab w:val="clear" w:pos="0"/>
        </w:tabs>
        <w:ind w:left="15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660"/>
          <w:tab w:val="clear" w:pos="0"/>
        </w:tabs>
        <w:ind w:left="1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804"/>
          <w:tab w:val="clear" w:pos="0"/>
        </w:tabs>
        <w:ind w:left="18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multiLevelType w:val="multilevel"/>
    <w:styleLink w:val="List 1"/>
    <w:lvl w:ilvl="0">
      <w:start w:val="1"/>
      <w:numFmt w:val="decimal"/>
      <w:suff w:val="tab"/>
      <w:lvlText w:val="%1."/>
      <w:lvlJc w:val="left"/>
      <w:pPr>
        <w:tabs>
          <w:tab w:val="num" w:pos="652"/>
          <w:tab w:val="clear" w:pos="0"/>
        </w:tabs>
        <w:ind w:left="6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774"/>
          <w:tab w:val="clear" w:pos="0"/>
        </w:tabs>
        <w:ind w:left="774" w:hanging="1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940"/>
          <w:tab w:val="clear" w:pos="0"/>
        </w:tabs>
        <w:ind w:left="9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084"/>
          <w:tab w:val="clear" w:pos="0"/>
        </w:tabs>
        <w:ind w:left="10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28"/>
          <w:tab w:val="clear" w:pos="0"/>
        </w:tabs>
        <w:ind w:left="122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372"/>
          <w:tab w:val="clear" w:pos="0"/>
        </w:tabs>
        <w:ind w:left="13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16"/>
          <w:tab w:val="clear" w:pos="0"/>
        </w:tabs>
        <w:ind w:left="15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660"/>
          <w:tab w:val="clear" w:pos="0"/>
        </w:tabs>
        <w:ind w:left="1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804"/>
          <w:tab w:val="clear" w:pos="0"/>
        </w:tabs>
        <w:ind w:left="18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
    <w:multiLevelType w:val="multilevel"/>
    <w:styleLink w:val="List 1"/>
    <w:lvl w:ilvl="0">
      <w:start w:val="1"/>
      <w:numFmt w:val="decimal"/>
      <w:suff w:val="tab"/>
      <w:lvlText w:val="%1."/>
      <w:lvlJc w:val="left"/>
      <w:pPr>
        <w:tabs>
          <w:tab w:val="num" w:pos="652"/>
          <w:tab w:val="clear" w:pos="0"/>
        </w:tabs>
        <w:ind w:left="6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774"/>
          <w:tab w:val="clear" w:pos="0"/>
        </w:tabs>
        <w:ind w:left="774" w:hanging="1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940"/>
          <w:tab w:val="clear" w:pos="0"/>
        </w:tabs>
        <w:ind w:left="9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084"/>
          <w:tab w:val="clear" w:pos="0"/>
        </w:tabs>
        <w:ind w:left="10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28"/>
          <w:tab w:val="clear" w:pos="0"/>
        </w:tabs>
        <w:ind w:left="122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372"/>
          <w:tab w:val="clear" w:pos="0"/>
        </w:tabs>
        <w:ind w:left="13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16"/>
          <w:tab w:val="clear" w:pos="0"/>
        </w:tabs>
        <w:ind w:left="15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660"/>
          <w:tab w:val="clear" w:pos="0"/>
        </w:tabs>
        <w:ind w:left="1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804"/>
          <w:tab w:val="clear" w:pos="0"/>
        </w:tabs>
        <w:ind w:left="18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
    <w:multiLevelType w:val="multilevel"/>
    <w:styleLink w:val="List 1"/>
    <w:lvl w:ilvl="0">
      <w:start w:val="1"/>
      <w:numFmt w:val="decimal"/>
      <w:suff w:val="tab"/>
      <w:lvlText w:val="%1."/>
      <w:lvlJc w:val="left"/>
      <w:pPr>
        <w:tabs>
          <w:tab w:val="num" w:pos="652"/>
          <w:tab w:val="clear" w:pos="0"/>
        </w:tabs>
        <w:ind w:left="65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774"/>
          <w:tab w:val="clear" w:pos="0"/>
        </w:tabs>
        <w:ind w:left="774" w:hanging="1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940"/>
          <w:tab w:val="clear" w:pos="0"/>
        </w:tabs>
        <w:ind w:left="9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084"/>
          <w:tab w:val="clear" w:pos="0"/>
        </w:tabs>
        <w:ind w:left="108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28"/>
          <w:tab w:val="clear" w:pos="0"/>
        </w:tabs>
        <w:ind w:left="122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372"/>
          <w:tab w:val="clear" w:pos="0"/>
        </w:tabs>
        <w:ind w:left="13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16"/>
          <w:tab w:val="clear" w:pos="0"/>
        </w:tabs>
        <w:ind w:left="15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660"/>
          <w:tab w:val="clear" w:pos="0"/>
        </w:tabs>
        <w:ind w:left="1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804"/>
          <w:tab w:val="clear" w:pos="0"/>
        </w:tabs>
        <w:ind w:left="18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7">
    <w:multiLevelType w:val="multilevel"/>
    <w:lvl w:ilvl="0">
      <w:start w:val="1"/>
      <w:numFmt w:val="decimal"/>
      <w:suff w:val="tab"/>
      <w:lvlText w:val="%1."/>
      <w:lvlJc w:val="left"/>
      <w:pPr>
        <w:tabs>
          <w:tab w:val="num" w:pos="872"/>
          <w:tab w:val="clear" w:pos="0"/>
        </w:tabs>
        <w:ind w:left="8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1016"/>
          <w:tab w:val="clear" w:pos="0"/>
        </w:tabs>
        <w:ind w:left="10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1160"/>
          <w:tab w:val="clear" w:pos="0"/>
        </w:tabs>
        <w:ind w:left="1160" w:hanging="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304"/>
          <w:tab w:val="clear" w:pos="0"/>
        </w:tabs>
        <w:ind w:left="13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448"/>
          <w:tab w:val="clear" w:pos="0"/>
        </w:tabs>
        <w:ind w:left="144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592"/>
          <w:tab w:val="clear" w:pos="0"/>
        </w:tabs>
        <w:ind w:left="15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736"/>
          <w:tab w:val="clear" w:pos="0"/>
        </w:tabs>
        <w:ind w:left="173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880"/>
          <w:tab w:val="clear" w:pos="0"/>
        </w:tabs>
        <w:ind w:left="188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2024"/>
          <w:tab w:val="clear" w:pos="0"/>
        </w:tabs>
        <w:ind w:left="202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8">
    <w:multiLevelType w:val="multilevel"/>
    <w:styleLink w:val="List 2"/>
    <w:lvl w:ilvl="0">
      <w:start w:val="1"/>
      <w:numFmt w:val="decimal"/>
      <w:suff w:val="tab"/>
      <w:lvlText w:val="%1."/>
      <w:lvlJc w:val="left"/>
      <w:pPr>
        <w:tabs>
          <w:tab w:val="num" w:pos="872"/>
          <w:tab w:val="clear" w:pos="0"/>
        </w:tabs>
        <w:ind w:left="87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1016"/>
          <w:tab w:val="clear" w:pos="0"/>
        </w:tabs>
        <w:ind w:left="101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1160"/>
          <w:tab w:val="clear" w:pos="0"/>
        </w:tabs>
        <w:ind w:left="1160" w:hanging="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304"/>
          <w:tab w:val="clear" w:pos="0"/>
        </w:tabs>
        <w:ind w:left="130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448"/>
          <w:tab w:val="clear" w:pos="0"/>
        </w:tabs>
        <w:ind w:left="1448"/>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592"/>
          <w:tab w:val="clear" w:pos="0"/>
        </w:tabs>
        <w:ind w:left="15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736"/>
          <w:tab w:val="clear" w:pos="0"/>
        </w:tabs>
        <w:ind w:left="173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880"/>
          <w:tab w:val="clear" w:pos="0"/>
        </w:tabs>
        <w:ind w:left="188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2024"/>
          <w:tab w:val="clear" w:pos="0"/>
        </w:tabs>
        <w:ind w:left="202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9">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2">
    <w:multiLevelType w:val="multilevel"/>
    <w:styleLink w:val="List 3"/>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3">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5">
    <w:multiLevelType w:val="multilevel"/>
    <w:styleLink w:val="List 4"/>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6">
    <w:multiLevelType w:val="multilevel"/>
    <w:lvl w:ilvl="0">
      <w:start w:val="1"/>
      <w:numFmt w:val="bullet"/>
      <w:suff w:val="tab"/>
      <w:lvlText w:val="•"/>
      <w:lvlJc w:val="left"/>
      <w:pPr/>
      <w:rPr>
        <w:rFonts w:ascii="Calibri" w:cs="Calibri" w:hAnsi="Calibri" w:eastAsia="Calibri"/>
        <w:i w:val="1"/>
        <w:iCs w:val="1"/>
        <w:position w:val="0"/>
        <w:rtl w:val="0"/>
      </w:rPr>
    </w:lvl>
    <w:lvl w:ilvl="1">
      <w:start w:val="1"/>
      <w:numFmt w:val="bullet"/>
      <w:suff w:val="tab"/>
      <w:lvlText w:val="o"/>
      <w:lvlJc w:val="left"/>
      <w:pPr/>
      <w:rPr>
        <w:rFonts w:ascii="Calibri" w:cs="Calibri" w:hAnsi="Calibri" w:eastAsia="Calibri"/>
        <w:i w:val="1"/>
        <w:iCs w:val="1"/>
        <w:position w:val="0"/>
        <w:rtl w:val="0"/>
      </w:rPr>
    </w:lvl>
    <w:lvl w:ilvl="2">
      <w:start w:val="1"/>
      <w:numFmt w:val="bullet"/>
      <w:suff w:val="tab"/>
      <w:lvlText w:val="▪"/>
      <w:lvlJc w:val="left"/>
      <w:pPr/>
      <w:rPr>
        <w:rFonts w:ascii="Calibri" w:cs="Calibri" w:hAnsi="Calibri" w:eastAsia="Calibri"/>
        <w:i w:val="1"/>
        <w:iCs w:val="1"/>
        <w:position w:val="0"/>
        <w:rtl w:val="0"/>
      </w:rPr>
    </w:lvl>
    <w:lvl w:ilvl="3">
      <w:start w:val="1"/>
      <w:numFmt w:val="bullet"/>
      <w:suff w:val="tab"/>
      <w:lvlText w:val="•"/>
      <w:lvlJc w:val="left"/>
      <w:pPr/>
      <w:rPr>
        <w:rFonts w:ascii="Calibri" w:cs="Calibri" w:hAnsi="Calibri" w:eastAsia="Calibri"/>
        <w:i w:val="1"/>
        <w:iCs w:val="1"/>
        <w:position w:val="0"/>
        <w:rtl w:val="0"/>
      </w:rPr>
    </w:lvl>
    <w:lvl w:ilvl="4">
      <w:start w:val="1"/>
      <w:numFmt w:val="bullet"/>
      <w:suff w:val="tab"/>
      <w:lvlText w:val="o"/>
      <w:lvlJc w:val="left"/>
      <w:pPr/>
      <w:rPr>
        <w:rFonts w:ascii="Calibri" w:cs="Calibri" w:hAnsi="Calibri" w:eastAsia="Calibri"/>
        <w:i w:val="1"/>
        <w:iCs w:val="1"/>
        <w:position w:val="0"/>
        <w:rtl w:val="0"/>
      </w:rPr>
    </w:lvl>
    <w:lvl w:ilvl="5">
      <w:start w:val="1"/>
      <w:numFmt w:val="bullet"/>
      <w:suff w:val="tab"/>
      <w:lvlText w:val="▪"/>
      <w:lvlJc w:val="left"/>
      <w:pPr/>
      <w:rPr>
        <w:rFonts w:ascii="Calibri" w:cs="Calibri" w:hAnsi="Calibri" w:eastAsia="Calibri"/>
        <w:i w:val="1"/>
        <w:iCs w:val="1"/>
        <w:position w:val="0"/>
        <w:rtl w:val="0"/>
      </w:rPr>
    </w:lvl>
    <w:lvl w:ilvl="6">
      <w:start w:val="1"/>
      <w:numFmt w:val="bullet"/>
      <w:suff w:val="tab"/>
      <w:lvlText w:val="•"/>
      <w:lvlJc w:val="left"/>
      <w:pPr/>
      <w:rPr>
        <w:rFonts w:ascii="Calibri" w:cs="Calibri" w:hAnsi="Calibri" w:eastAsia="Calibri"/>
        <w:i w:val="1"/>
        <w:iCs w:val="1"/>
        <w:position w:val="0"/>
        <w:rtl w:val="0"/>
      </w:rPr>
    </w:lvl>
    <w:lvl w:ilvl="7">
      <w:start w:val="1"/>
      <w:numFmt w:val="bullet"/>
      <w:suff w:val="tab"/>
      <w:lvlText w:val="o"/>
      <w:lvlJc w:val="left"/>
      <w:pPr/>
      <w:rPr>
        <w:rFonts w:ascii="Calibri" w:cs="Calibri" w:hAnsi="Calibri" w:eastAsia="Calibri"/>
        <w:i w:val="1"/>
        <w:iCs w:val="1"/>
        <w:position w:val="0"/>
        <w:rtl w:val="0"/>
      </w:rPr>
    </w:lvl>
    <w:lvl w:ilvl="8">
      <w:start w:val="1"/>
      <w:numFmt w:val="bullet"/>
      <w:suff w:val="tab"/>
      <w:lvlText w:val="▪"/>
      <w:lvlJc w:val="left"/>
      <w:pPr/>
      <w:rPr>
        <w:rFonts w:ascii="Calibri" w:cs="Calibri" w:hAnsi="Calibri" w:eastAsia="Calibri"/>
        <w:i w:val="1"/>
        <w:iCs w:val="1"/>
        <w:position w:val="0"/>
        <w:rtl w:val="0"/>
      </w:rPr>
    </w:lvl>
  </w:abstractNum>
  <w:abstractNum w:abstractNumId="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
    <w:multiLevelType w:val="multilevel"/>
    <w:styleLink w:val="List 5"/>
    <w:lvl w:ilvl="0">
      <w:start w:val="0"/>
      <w:numFmt w:val="bullet"/>
      <w:suff w:val="tab"/>
      <w:lvlText w:val="•"/>
      <w:lvlJc w:val="left"/>
      <w:pPr/>
      <w:rPr>
        <w:rFonts w:ascii="Calibri" w:cs="Calibri" w:hAnsi="Calibri" w:eastAsia="Calibri"/>
        <w:i w:val="1"/>
        <w:iCs w:val="1"/>
        <w:position w:val="0"/>
        <w:rtl w:val="0"/>
      </w:rPr>
    </w:lvl>
    <w:lvl w:ilvl="1">
      <w:start w:val="1"/>
      <w:numFmt w:val="bullet"/>
      <w:suff w:val="tab"/>
      <w:lvlText w:val="o"/>
      <w:lvlJc w:val="left"/>
      <w:pPr/>
      <w:rPr>
        <w:rFonts w:ascii="Calibri" w:cs="Calibri" w:hAnsi="Calibri" w:eastAsia="Calibri"/>
        <w:i w:val="1"/>
        <w:iCs w:val="1"/>
        <w:position w:val="0"/>
        <w:rtl w:val="0"/>
      </w:rPr>
    </w:lvl>
    <w:lvl w:ilvl="2">
      <w:start w:val="1"/>
      <w:numFmt w:val="bullet"/>
      <w:suff w:val="tab"/>
      <w:lvlText w:val="▪"/>
      <w:lvlJc w:val="left"/>
      <w:pPr/>
      <w:rPr>
        <w:rFonts w:ascii="Calibri" w:cs="Calibri" w:hAnsi="Calibri" w:eastAsia="Calibri"/>
        <w:i w:val="1"/>
        <w:iCs w:val="1"/>
        <w:position w:val="0"/>
        <w:rtl w:val="0"/>
      </w:rPr>
    </w:lvl>
    <w:lvl w:ilvl="3">
      <w:start w:val="1"/>
      <w:numFmt w:val="bullet"/>
      <w:suff w:val="tab"/>
      <w:lvlText w:val="•"/>
      <w:lvlJc w:val="left"/>
      <w:pPr/>
      <w:rPr>
        <w:rFonts w:ascii="Calibri" w:cs="Calibri" w:hAnsi="Calibri" w:eastAsia="Calibri"/>
        <w:i w:val="1"/>
        <w:iCs w:val="1"/>
        <w:position w:val="0"/>
        <w:rtl w:val="0"/>
      </w:rPr>
    </w:lvl>
    <w:lvl w:ilvl="4">
      <w:start w:val="1"/>
      <w:numFmt w:val="bullet"/>
      <w:suff w:val="tab"/>
      <w:lvlText w:val="o"/>
      <w:lvlJc w:val="left"/>
      <w:pPr/>
      <w:rPr>
        <w:rFonts w:ascii="Calibri" w:cs="Calibri" w:hAnsi="Calibri" w:eastAsia="Calibri"/>
        <w:i w:val="1"/>
        <w:iCs w:val="1"/>
        <w:position w:val="0"/>
        <w:rtl w:val="0"/>
      </w:rPr>
    </w:lvl>
    <w:lvl w:ilvl="5">
      <w:start w:val="1"/>
      <w:numFmt w:val="bullet"/>
      <w:suff w:val="tab"/>
      <w:lvlText w:val="▪"/>
      <w:lvlJc w:val="left"/>
      <w:pPr/>
      <w:rPr>
        <w:rFonts w:ascii="Calibri" w:cs="Calibri" w:hAnsi="Calibri" w:eastAsia="Calibri"/>
        <w:i w:val="1"/>
        <w:iCs w:val="1"/>
        <w:position w:val="0"/>
        <w:rtl w:val="0"/>
      </w:rPr>
    </w:lvl>
    <w:lvl w:ilvl="6">
      <w:start w:val="1"/>
      <w:numFmt w:val="bullet"/>
      <w:suff w:val="tab"/>
      <w:lvlText w:val="•"/>
      <w:lvlJc w:val="left"/>
      <w:pPr/>
      <w:rPr>
        <w:rFonts w:ascii="Calibri" w:cs="Calibri" w:hAnsi="Calibri" w:eastAsia="Calibri"/>
        <w:i w:val="1"/>
        <w:iCs w:val="1"/>
        <w:position w:val="0"/>
        <w:rtl w:val="0"/>
      </w:rPr>
    </w:lvl>
    <w:lvl w:ilvl="7">
      <w:start w:val="1"/>
      <w:numFmt w:val="bullet"/>
      <w:suff w:val="tab"/>
      <w:lvlText w:val="o"/>
      <w:lvlJc w:val="left"/>
      <w:pPr/>
      <w:rPr>
        <w:rFonts w:ascii="Calibri" w:cs="Calibri" w:hAnsi="Calibri" w:eastAsia="Calibri"/>
        <w:i w:val="1"/>
        <w:iCs w:val="1"/>
        <w:position w:val="0"/>
        <w:rtl w:val="0"/>
      </w:rPr>
    </w:lvl>
    <w:lvl w:ilvl="8">
      <w:start w:val="1"/>
      <w:numFmt w:val="bullet"/>
      <w:suff w:val="tab"/>
      <w:lvlText w:val="▪"/>
      <w:lvlJc w:val="left"/>
      <w:pPr/>
      <w:rPr>
        <w:rFonts w:ascii="Calibri" w:cs="Calibri" w:hAnsi="Calibri" w:eastAsia="Calibri"/>
        <w:i w:val="1"/>
        <w:iCs w:val="1"/>
        <w:position w:val="0"/>
        <w:rtl w:val="0"/>
      </w:rPr>
    </w:lvl>
  </w:abstractNum>
  <w:abstractNum w:abstractNumId="19">
    <w:multiLevelType w:val="multilevel"/>
    <w:styleLink w:val="List 5"/>
    <w:lvl w:ilvl="0">
      <w:start w:val="0"/>
      <w:numFmt w:val="bullet"/>
      <w:suff w:val="tab"/>
      <w:lvlText w:val="•"/>
      <w:lvlJc w:val="left"/>
      <w:pPr/>
      <w:rPr>
        <w:rFonts w:ascii="Calibri" w:cs="Calibri" w:hAnsi="Calibri" w:eastAsia="Calibri"/>
        <w:i w:val="1"/>
        <w:iCs w:val="1"/>
        <w:position w:val="0"/>
        <w:rtl w:val="0"/>
      </w:rPr>
    </w:lvl>
    <w:lvl w:ilvl="1">
      <w:start w:val="1"/>
      <w:numFmt w:val="bullet"/>
      <w:suff w:val="tab"/>
      <w:lvlText w:val="o"/>
      <w:lvlJc w:val="left"/>
      <w:pPr/>
      <w:rPr>
        <w:rFonts w:ascii="Calibri" w:cs="Calibri" w:hAnsi="Calibri" w:eastAsia="Calibri"/>
        <w:i w:val="1"/>
        <w:iCs w:val="1"/>
        <w:position w:val="0"/>
        <w:rtl w:val="0"/>
      </w:rPr>
    </w:lvl>
    <w:lvl w:ilvl="2">
      <w:start w:val="1"/>
      <w:numFmt w:val="bullet"/>
      <w:suff w:val="tab"/>
      <w:lvlText w:val="▪"/>
      <w:lvlJc w:val="left"/>
      <w:pPr/>
      <w:rPr>
        <w:rFonts w:ascii="Calibri" w:cs="Calibri" w:hAnsi="Calibri" w:eastAsia="Calibri"/>
        <w:i w:val="1"/>
        <w:iCs w:val="1"/>
        <w:position w:val="0"/>
        <w:rtl w:val="0"/>
      </w:rPr>
    </w:lvl>
    <w:lvl w:ilvl="3">
      <w:start w:val="1"/>
      <w:numFmt w:val="bullet"/>
      <w:suff w:val="tab"/>
      <w:lvlText w:val="•"/>
      <w:lvlJc w:val="left"/>
      <w:pPr/>
      <w:rPr>
        <w:rFonts w:ascii="Calibri" w:cs="Calibri" w:hAnsi="Calibri" w:eastAsia="Calibri"/>
        <w:i w:val="1"/>
        <w:iCs w:val="1"/>
        <w:position w:val="0"/>
        <w:rtl w:val="0"/>
      </w:rPr>
    </w:lvl>
    <w:lvl w:ilvl="4">
      <w:start w:val="1"/>
      <w:numFmt w:val="bullet"/>
      <w:suff w:val="tab"/>
      <w:lvlText w:val="o"/>
      <w:lvlJc w:val="left"/>
      <w:pPr/>
      <w:rPr>
        <w:rFonts w:ascii="Calibri" w:cs="Calibri" w:hAnsi="Calibri" w:eastAsia="Calibri"/>
        <w:i w:val="1"/>
        <w:iCs w:val="1"/>
        <w:position w:val="0"/>
        <w:rtl w:val="0"/>
      </w:rPr>
    </w:lvl>
    <w:lvl w:ilvl="5">
      <w:start w:val="1"/>
      <w:numFmt w:val="bullet"/>
      <w:suff w:val="tab"/>
      <w:lvlText w:val="▪"/>
      <w:lvlJc w:val="left"/>
      <w:pPr/>
      <w:rPr>
        <w:rFonts w:ascii="Calibri" w:cs="Calibri" w:hAnsi="Calibri" w:eastAsia="Calibri"/>
        <w:i w:val="1"/>
        <w:iCs w:val="1"/>
        <w:position w:val="0"/>
        <w:rtl w:val="0"/>
      </w:rPr>
    </w:lvl>
    <w:lvl w:ilvl="6">
      <w:start w:val="1"/>
      <w:numFmt w:val="bullet"/>
      <w:suff w:val="tab"/>
      <w:lvlText w:val="•"/>
      <w:lvlJc w:val="left"/>
      <w:pPr/>
      <w:rPr>
        <w:rFonts w:ascii="Calibri" w:cs="Calibri" w:hAnsi="Calibri" w:eastAsia="Calibri"/>
        <w:i w:val="1"/>
        <w:iCs w:val="1"/>
        <w:position w:val="0"/>
        <w:rtl w:val="0"/>
      </w:rPr>
    </w:lvl>
    <w:lvl w:ilvl="7">
      <w:start w:val="1"/>
      <w:numFmt w:val="bullet"/>
      <w:suff w:val="tab"/>
      <w:lvlText w:val="o"/>
      <w:lvlJc w:val="left"/>
      <w:pPr/>
      <w:rPr>
        <w:rFonts w:ascii="Calibri" w:cs="Calibri" w:hAnsi="Calibri" w:eastAsia="Calibri"/>
        <w:i w:val="1"/>
        <w:iCs w:val="1"/>
        <w:position w:val="0"/>
        <w:rtl w:val="0"/>
      </w:rPr>
    </w:lvl>
    <w:lvl w:ilvl="8">
      <w:start w:val="1"/>
      <w:numFmt w:val="bullet"/>
      <w:suff w:val="tab"/>
      <w:lvlText w:val="▪"/>
      <w:lvlJc w:val="left"/>
      <w:pPr/>
      <w:rPr>
        <w:rFonts w:ascii="Calibri" w:cs="Calibri" w:hAnsi="Calibri" w:eastAsia="Calibri"/>
        <w:i w:val="1"/>
        <w:iCs w:val="1"/>
        <w:position w:val="0"/>
        <w:rtl w:val="0"/>
      </w:rPr>
    </w:lvl>
  </w:abstractNum>
  <w:abstractNum w:abstractNumId="20">
    <w:multiLevelType w:val="multilevel"/>
    <w:styleLink w:val="List 5"/>
    <w:lvl w:ilvl="0">
      <w:start w:val="0"/>
      <w:numFmt w:val="bullet"/>
      <w:suff w:val="tab"/>
      <w:lvlText w:val="•"/>
      <w:lvlJc w:val="left"/>
      <w:pPr/>
      <w:rPr>
        <w:rFonts w:ascii="Calibri" w:cs="Calibri" w:hAnsi="Calibri" w:eastAsia="Calibri"/>
        <w:i w:val="1"/>
        <w:iCs w:val="1"/>
        <w:position w:val="0"/>
        <w:rtl w:val="0"/>
      </w:rPr>
    </w:lvl>
    <w:lvl w:ilvl="1">
      <w:start w:val="1"/>
      <w:numFmt w:val="bullet"/>
      <w:suff w:val="tab"/>
      <w:lvlText w:val="o"/>
      <w:lvlJc w:val="left"/>
      <w:pPr/>
      <w:rPr>
        <w:rFonts w:ascii="Calibri" w:cs="Calibri" w:hAnsi="Calibri" w:eastAsia="Calibri"/>
        <w:i w:val="1"/>
        <w:iCs w:val="1"/>
        <w:position w:val="0"/>
        <w:rtl w:val="0"/>
      </w:rPr>
    </w:lvl>
    <w:lvl w:ilvl="2">
      <w:start w:val="1"/>
      <w:numFmt w:val="bullet"/>
      <w:suff w:val="tab"/>
      <w:lvlText w:val="▪"/>
      <w:lvlJc w:val="left"/>
      <w:pPr/>
      <w:rPr>
        <w:rFonts w:ascii="Calibri" w:cs="Calibri" w:hAnsi="Calibri" w:eastAsia="Calibri"/>
        <w:i w:val="1"/>
        <w:iCs w:val="1"/>
        <w:position w:val="0"/>
        <w:rtl w:val="0"/>
      </w:rPr>
    </w:lvl>
    <w:lvl w:ilvl="3">
      <w:start w:val="1"/>
      <w:numFmt w:val="bullet"/>
      <w:suff w:val="tab"/>
      <w:lvlText w:val="•"/>
      <w:lvlJc w:val="left"/>
      <w:pPr/>
      <w:rPr>
        <w:rFonts w:ascii="Calibri" w:cs="Calibri" w:hAnsi="Calibri" w:eastAsia="Calibri"/>
        <w:i w:val="1"/>
        <w:iCs w:val="1"/>
        <w:position w:val="0"/>
        <w:rtl w:val="0"/>
      </w:rPr>
    </w:lvl>
    <w:lvl w:ilvl="4">
      <w:start w:val="1"/>
      <w:numFmt w:val="bullet"/>
      <w:suff w:val="tab"/>
      <w:lvlText w:val="o"/>
      <w:lvlJc w:val="left"/>
      <w:pPr/>
      <w:rPr>
        <w:rFonts w:ascii="Calibri" w:cs="Calibri" w:hAnsi="Calibri" w:eastAsia="Calibri"/>
        <w:i w:val="1"/>
        <w:iCs w:val="1"/>
        <w:position w:val="0"/>
        <w:rtl w:val="0"/>
      </w:rPr>
    </w:lvl>
    <w:lvl w:ilvl="5">
      <w:start w:val="1"/>
      <w:numFmt w:val="bullet"/>
      <w:suff w:val="tab"/>
      <w:lvlText w:val="▪"/>
      <w:lvlJc w:val="left"/>
      <w:pPr/>
      <w:rPr>
        <w:rFonts w:ascii="Calibri" w:cs="Calibri" w:hAnsi="Calibri" w:eastAsia="Calibri"/>
        <w:i w:val="1"/>
        <w:iCs w:val="1"/>
        <w:position w:val="0"/>
        <w:rtl w:val="0"/>
      </w:rPr>
    </w:lvl>
    <w:lvl w:ilvl="6">
      <w:start w:val="1"/>
      <w:numFmt w:val="bullet"/>
      <w:suff w:val="tab"/>
      <w:lvlText w:val="•"/>
      <w:lvlJc w:val="left"/>
      <w:pPr/>
      <w:rPr>
        <w:rFonts w:ascii="Calibri" w:cs="Calibri" w:hAnsi="Calibri" w:eastAsia="Calibri"/>
        <w:i w:val="1"/>
        <w:iCs w:val="1"/>
        <w:position w:val="0"/>
        <w:rtl w:val="0"/>
      </w:rPr>
    </w:lvl>
    <w:lvl w:ilvl="7">
      <w:start w:val="1"/>
      <w:numFmt w:val="bullet"/>
      <w:suff w:val="tab"/>
      <w:lvlText w:val="o"/>
      <w:lvlJc w:val="left"/>
      <w:pPr/>
      <w:rPr>
        <w:rFonts w:ascii="Calibri" w:cs="Calibri" w:hAnsi="Calibri" w:eastAsia="Calibri"/>
        <w:i w:val="1"/>
        <w:iCs w:val="1"/>
        <w:position w:val="0"/>
        <w:rtl w:val="0"/>
      </w:rPr>
    </w:lvl>
    <w:lvl w:ilvl="8">
      <w:start w:val="1"/>
      <w:numFmt w:val="bullet"/>
      <w:suff w:val="tab"/>
      <w:lvlText w:val="▪"/>
      <w:lvlJc w:val="left"/>
      <w:pPr/>
      <w:rPr>
        <w:rFonts w:ascii="Calibri" w:cs="Calibri" w:hAnsi="Calibri" w:eastAsia="Calibri"/>
        <w:i w:val="1"/>
        <w:iCs w:val="1"/>
        <w:position w:val="0"/>
        <w:rtl w:val="0"/>
      </w:rPr>
    </w:lvl>
  </w:abstractNum>
  <w:abstractNum w:abstractNumId="21">
    <w:multiLevelType w:val="multilevel"/>
    <w:styleLink w:val="List 5"/>
    <w:lvl w:ilvl="0">
      <w:start w:val="0"/>
      <w:numFmt w:val="bullet"/>
      <w:suff w:val="tab"/>
      <w:lvlText w:val="•"/>
      <w:lvlJc w:val="left"/>
      <w:pPr/>
      <w:rPr>
        <w:rFonts w:ascii="Calibri" w:cs="Calibri" w:hAnsi="Calibri" w:eastAsia="Calibri"/>
        <w:i w:val="1"/>
        <w:iCs w:val="1"/>
        <w:position w:val="0"/>
        <w:rtl w:val="0"/>
      </w:rPr>
    </w:lvl>
    <w:lvl w:ilvl="1">
      <w:start w:val="1"/>
      <w:numFmt w:val="bullet"/>
      <w:suff w:val="tab"/>
      <w:lvlText w:val="o"/>
      <w:lvlJc w:val="left"/>
      <w:pPr/>
      <w:rPr>
        <w:rFonts w:ascii="Calibri" w:cs="Calibri" w:hAnsi="Calibri" w:eastAsia="Calibri"/>
        <w:i w:val="1"/>
        <w:iCs w:val="1"/>
        <w:position w:val="0"/>
        <w:rtl w:val="0"/>
      </w:rPr>
    </w:lvl>
    <w:lvl w:ilvl="2">
      <w:start w:val="1"/>
      <w:numFmt w:val="bullet"/>
      <w:suff w:val="tab"/>
      <w:lvlText w:val="▪"/>
      <w:lvlJc w:val="left"/>
      <w:pPr/>
      <w:rPr>
        <w:rFonts w:ascii="Calibri" w:cs="Calibri" w:hAnsi="Calibri" w:eastAsia="Calibri"/>
        <w:i w:val="1"/>
        <w:iCs w:val="1"/>
        <w:position w:val="0"/>
        <w:rtl w:val="0"/>
      </w:rPr>
    </w:lvl>
    <w:lvl w:ilvl="3">
      <w:start w:val="1"/>
      <w:numFmt w:val="bullet"/>
      <w:suff w:val="tab"/>
      <w:lvlText w:val="•"/>
      <w:lvlJc w:val="left"/>
      <w:pPr/>
      <w:rPr>
        <w:rFonts w:ascii="Calibri" w:cs="Calibri" w:hAnsi="Calibri" w:eastAsia="Calibri"/>
        <w:i w:val="1"/>
        <w:iCs w:val="1"/>
        <w:position w:val="0"/>
        <w:rtl w:val="0"/>
      </w:rPr>
    </w:lvl>
    <w:lvl w:ilvl="4">
      <w:start w:val="1"/>
      <w:numFmt w:val="bullet"/>
      <w:suff w:val="tab"/>
      <w:lvlText w:val="o"/>
      <w:lvlJc w:val="left"/>
      <w:pPr/>
      <w:rPr>
        <w:rFonts w:ascii="Calibri" w:cs="Calibri" w:hAnsi="Calibri" w:eastAsia="Calibri"/>
        <w:i w:val="1"/>
        <w:iCs w:val="1"/>
        <w:position w:val="0"/>
        <w:rtl w:val="0"/>
      </w:rPr>
    </w:lvl>
    <w:lvl w:ilvl="5">
      <w:start w:val="1"/>
      <w:numFmt w:val="bullet"/>
      <w:suff w:val="tab"/>
      <w:lvlText w:val="▪"/>
      <w:lvlJc w:val="left"/>
      <w:pPr/>
      <w:rPr>
        <w:rFonts w:ascii="Calibri" w:cs="Calibri" w:hAnsi="Calibri" w:eastAsia="Calibri"/>
        <w:i w:val="1"/>
        <w:iCs w:val="1"/>
        <w:position w:val="0"/>
        <w:rtl w:val="0"/>
      </w:rPr>
    </w:lvl>
    <w:lvl w:ilvl="6">
      <w:start w:val="1"/>
      <w:numFmt w:val="bullet"/>
      <w:suff w:val="tab"/>
      <w:lvlText w:val="•"/>
      <w:lvlJc w:val="left"/>
      <w:pPr/>
      <w:rPr>
        <w:rFonts w:ascii="Calibri" w:cs="Calibri" w:hAnsi="Calibri" w:eastAsia="Calibri"/>
        <w:i w:val="1"/>
        <w:iCs w:val="1"/>
        <w:position w:val="0"/>
        <w:rtl w:val="0"/>
      </w:rPr>
    </w:lvl>
    <w:lvl w:ilvl="7">
      <w:start w:val="1"/>
      <w:numFmt w:val="bullet"/>
      <w:suff w:val="tab"/>
      <w:lvlText w:val="o"/>
      <w:lvlJc w:val="left"/>
      <w:pPr/>
      <w:rPr>
        <w:rFonts w:ascii="Calibri" w:cs="Calibri" w:hAnsi="Calibri" w:eastAsia="Calibri"/>
        <w:i w:val="1"/>
        <w:iCs w:val="1"/>
        <w:position w:val="0"/>
        <w:rtl w:val="0"/>
      </w:rPr>
    </w:lvl>
    <w:lvl w:ilvl="8">
      <w:start w:val="1"/>
      <w:numFmt w:val="bullet"/>
      <w:suff w:val="tab"/>
      <w:lvlText w:val="▪"/>
      <w:lvlJc w:val="left"/>
      <w:pPr/>
      <w:rPr>
        <w:rFonts w:ascii="Calibri" w:cs="Calibri" w:hAnsi="Calibri" w:eastAsia="Calibri"/>
        <w:i w:val="1"/>
        <w:iCs w:val="1"/>
        <w:position w:val="0"/>
        <w:rtl w:val="0"/>
      </w:rPr>
    </w:lvl>
  </w:abstractNum>
  <w:abstractNum w:abstractNumId="22">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4">
    <w:multiLevelType w:val="multilevel"/>
    <w:styleLink w:val="List 6"/>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5">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6">
    <w:multiLevelType w:val="multilevel"/>
    <w:styleLink w:val="List 7"/>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7">
    <w:multiLevelType w:val="multilevel"/>
    <w:styleLink w:val="List 7"/>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8">
    <w:multiLevelType w:val="multilevel"/>
    <w:styleLink w:val="List 7"/>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9">
    <w:multiLevelType w:val="multilevel"/>
    <w:lvl w:ilvl="0">
      <w:start w:val="1"/>
      <w:numFmt w:val="upperRoman"/>
      <w:suff w:val="tab"/>
      <w:lvlText w:val="%1."/>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0">
    <w:multiLevelType w:val="multilevel"/>
    <w:lvl w:ilvl="0">
      <w:start w:val="1"/>
      <w:numFmt w:val="upperRoman"/>
      <w:suff w:val="tab"/>
      <w:lvlText w:val="%1."/>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8"/>
    <w:lvl w:ilvl="0">
      <w:start w:val="1"/>
      <w:numFmt w:val="upperRoman"/>
      <w:suff w:val="tab"/>
      <w:lvlText w:val="%1."/>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2">
    <w:multiLevelType w:val="multilevel"/>
    <w:lvl w:ilvl="0">
      <w:start w:val="1"/>
      <w:numFmt w:val="lowerLetter"/>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33">
    <w:multiLevelType w:val="multilevel"/>
    <w:lvl w:ilvl="0">
      <w:start w:val="1"/>
      <w:numFmt w:val="lowerLetter"/>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4">
    <w:multiLevelType w:val="multilevel"/>
    <w:styleLink w:val="List 9"/>
    <w:lvl w:ilvl="0">
      <w:start w:val="1"/>
      <w:numFmt w:val="lowerLetter"/>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35">
    <w:multiLevelType w:val="multilevel"/>
    <w:lvl w:ilvl="0">
      <w:start w:val="1"/>
      <w:numFmt w:val="lowerLetter"/>
      <w:suff w:val="tab"/>
      <w:lvlText w:val="%1."/>
      <w:lvlJc w:val="left"/>
      <w:pPr/>
      <w:rPr>
        <w:rFonts w:ascii="Calibri" w:cs="Calibri" w:hAnsi="Calibri" w:eastAsia="Calibri"/>
        <w:b w:val="1"/>
        <w:bCs w:val="1"/>
        <w:position w:val="0"/>
      </w:rPr>
    </w:lvl>
    <w:lvl w:ilvl="1">
      <w:start w:val="1"/>
      <w:numFmt w:val="lowerRoman"/>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36">
    <w:multiLevelType w:val="multilevel"/>
    <w:lvl w:ilvl="0">
      <w:start w:val="1"/>
      <w:numFmt w:val="lowerLetter"/>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7">
    <w:multiLevelType w:val="multilevel"/>
    <w:styleLink w:val="List 10"/>
    <w:lvl w:ilvl="0">
      <w:start w:val="1"/>
      <w:numFmt w:val="lowerLetter"/>
      <w:suff w:val="tab"/>
      <w:lvlText w:val="%1."/>
      <w:lvlJc w:val="left"/>
      <w:pPr/>
      <w:rPr>
        <w:rFonts w:ascii="Calibri" w:cs="Calibri" w:hAnsi="Calibri" w:eastAsia="Calibri"/>
        <w:b w:val="1"/>
        <w:bCs w:val="1"/>
        <w:position w:val="0"/>
      </w:rPr>
    </w:lvl>
    <w:lvl w:ilvl="1">
      <w:start w:val="1"/>
      <w:numFmt w:val="lowerRoman"/>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38">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3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0">
    <w:multiLevelType w:val="multilevel"/>
    <w:styleLink w:val="List 11"/>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41">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4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3">
    <w:multiLevelType w:val="multilevel"/>
    <w:styleLink w:val="List 1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44">
    <w:multiLevelType w:val="multilevel"/>
    <w:lvl w:ilvl="0">
      <w:start w:val="1"/>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4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6">
    <w:multiLevelType w:val="multilevel"/>
    <w:styleLink w:val="List 13"/>
    <w:lvl w:ilvl="0">
      <w:start w:val="0"/>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47">
    <w:multiLevelType w:val="multilevel"/>
    <w:lvl w:ilvl="0">
      <w:start w:val="1"/>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48">
    <w:multiLevelType w:val="multilevel"/>
    <w:styleLink w:val="List 14"/>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49">
    <w:multiLevelType w:val="multilevel"/>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0">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1">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2">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3">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4">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5">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6">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7">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8">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9">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0">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1">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2">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3">
    <w:multiLevelType w:val="multilevel"/>
    <w:styleLink w:val="List 15"/>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4">
    <w:multiLevelType w:val="multilevel"/>
    <w:lvl w:ilvl="0">
      <w:start w:val="1"/>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5">
    <w:multiLevelType w:val="multilevel"/>
    <w:styleLink w:val="List 16"/>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6">
    <w:multiLevelType w:val="multilevel"/>
    <w:lvl w:ilvl="0">
      <w:start w:val="1"/>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8">
    <w:multiLevelType w:val="multilevel"/>
    <w:styleLink w:val="List 17"/>
    <w:lvl w:ilvl="0">
      <w:start w:val="0"/>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9">
    <w:multiLevelType w:val="multilevel"/>
    <w:lvl w:ilvl="0">
      <w:start w:val="1"/>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0">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1">
    <w:multiLevelType w:val="multilevel"/>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2">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3">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4">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5">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6">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7">
    <w:multiLevelType w:val="multilevel"/>
    <w:lvl w:ilvl="0">
      <w:start w:val="1"/>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o"/>
      <w:lvlJc w:val="left"/>
      <w:pPr>
        <w:tabs>
          <w:tab w:val="num" w:pos="1380"/>
          <w:tab w:val="clear" w:pos="0"/>
        </w:tabs>
        <w:ind w:left="13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9">
    <w:multiLevelType w:val="multilevel"/>
    <w:styleLink w:val="List 20"/>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80"/>
          <w:tab w:val="clear" w:pos="0"/>
        </w:tabs>
        <w:ind w:left="13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0">
    <w:multiLevelType w:val="multilevel"/>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1">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2">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3">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4">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5">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6">
    <w:multiLevelType w:val="multilevel"/>
    <w:styleLink w:val="List 21"/>
    <w:lvl w:ilvl="0">
      <w:start w:val="1"/>
      <w:numFmt w:val="bullet"/>
      <w:suff w:val="tab"/>
      <w:lvlText w:val="•"/>
      <w:lvlJc w:val="left"/>
      <w:pPr>
        <w:tabs>
          <w:tab w:val="num" w:pos="660"/>
          <w:tab w:val="clear" w:pos="0"/>
        </w:tabs>
        <w:ind w:left="6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o"/>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00"/>
          <w:tab w:val="clear" w:pos="0"/>
        </w:tabs>
        <w:ind w:left="21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2820"/>
          <w:tab w:val="clear" w:pos="0"/>
        </w:tabs>
        <w:ind w:left="28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o"/>
      <w:lvlJc w:val="left"/>
      <w:pPr>
        <w:tabs>
          <w:tab w:val="num" w:pos="3540"/>
          <w:tab w:val="clear" w:pos="0"/>
        </w:tabs>
        <w:ind w:left="354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4260"/>
          <w:tab w:val="clear" w:pos="0"/>
        </w:tabs>
        <w:ind w:left="426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4980"/>
          <w:tab w:val="clear" w:pos="0"/>
        </w:tabs>
        <w:ind w:left="498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o"/>
      <w:lvlJc w:val="left"/>
      <w:pPr>
        <w:tabs>
          <w:tab w:val="num" w:pos="5700"/>
          <w:tab w:val="clear" w:pos="0"/>
        </w:tabs>
        <w:ind w:left="570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6420"/>
          <w:tab w:val="clear" w:pos="0"/>
        </w:tabs>
        <w:ind w:left="6420" w:hanging="3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7">
    <w:multiLevelType w:val="multilevel"/>
    <w:styleLink w:val="List 17"/>
    <w:lvl w:ilvl="0">
      <w:start w:val="0"/>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8">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9">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0">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1">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2">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3">
    <w:multiLevelType w:val="multilevel"/>
    <w:styleLink w:val="List 19"/>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522"/>
          <w:tab w:val="clear" w:pos="0"/>
        </w:tabs>
        <w:ind w:left="52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4">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5">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6">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7">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8">
    <w:multiLevelType w:val="multilevel"/>
    <w:styleLink w:val="List 17"/>
    <w:lvl w:ilvl="0">
      <w:start w:val="0"/>
      <w:numFmt w:val="bullet"/>
      <w:suff w:val="tab"/>
      <w:lvlText w:val="•"/>
      <w:lvlJc w:val="left"/>
      <w:pPr>
        <w:tabs>
          <w:tab w:val="num" w:pos="252"/>
          <w:tab w:val="clear" w:pos="0"/>
        </w:tabs>
        <w:ind w:left="252"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9">
    <w:multiLevelType w:val="multilevel"/>
    <w:lvl w:ilvl="0">
      <w:start w:val="1"/>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0">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1">
    <w:multiLevelType w:val="multilevel"/>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2">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3">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4">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5">
    <w:multiLevelType w:val="multilevel"/>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6">
    <w:multiLevelType w:val="multilevel"/>
    <w:styleLink w:val="List 24"/>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0"/>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7">
    <w:multiLevelType w:val="multilevel"/>
    <w:styleLink w:val="List 24"/>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0"/>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8">
    <w:multiLevelType w:val="multilevel"/>
    <w:styleLink w:val="List 24"/>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0"/>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9">
    <w:multiLevelType w:val="multilevel"/>
    <w:styleLink w:val="List 24"/>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0"/>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0">
    <w:multiLevelType w:val="multilevel"/>
    <w:styleLink w:val="List 24"/>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0"/>
      <w:numFmt w:val="bullet"/>
      <w:suff w:val="tab"/>
      <w:lvlText w:val="■"/>
      <w:lvlJc w:val="left"/>
      <w:pPr>
        <w:tabs>
          <w:tab w:val="num" w:pos="1062"/>
          <w:tab w:val="clear" w:pos="0"/>
        </w:tabs>
        <w:ind w:left="1062"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1">
    <w:multiLevelType w:val="multilevel"/>
    <w:styleLink w:val="List 18"/>
    <w:lvl w:ilvl="0">
      <w:start w:val="0"/>
      <w:numFmt w:val="bullet"/>
      <w:suff w:val="tab"/>
      <w:lvlText w:val="•"/>
      <w:lvlJc w:val="left"/>
      <w:pPr>
        <w:tabs>
          <w:tab w:val="num" w:pos="270"/>
          <w:tab w:val="clear" w:pos="0"/>
        </w:tabs>
        <w:ind w:left="270" w:hanging="27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2">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3">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4">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5">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6">
    <w:multiLevelType w:val="multilevel"/>
    <w:lvl w:ilvl="0">
      <w:start w:val="1"/>
      <w:numFmt w:val="bullet"/>
      <w:suff w:val="tab"/>
      <w:lvlText w:val="•"/>
      <w:lvlJc w:val="left"/>
      <w:pPr>
        <w:tabs>
          <w:tab w:val="num" w:pos="142"/>
          <w:tab w:val="clear" w:pos="0"/>
        </w:tabs>
        <w:ind w:left="142" w:hanging="142"/>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7">
    <w:multiLevelType w:val="multilevel"/>
    <w:styleLink w:val="List 25"/>
    <w:lvl w:ilvl="0">
      <w:start w:val="0"/>
      <w:numFmt w:val="bullet"/>
      <w:suff w:val="tab"/>
      <w:lvlText w:val="•"/>
      <w:lvlJc w:val="left"/>
      <w:pPr>
        <w:tabs>
          <w:tab w:val="num" w:pos="142"/>
          <w:tab w:val="clear" w:pos="0"/>
        </w:tabs>
        <w:ind w:left="142" w:hanging="14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8">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19">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0">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1">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2">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3">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4">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5">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6">
    <w:multiLevelType w:val="multilevel"/>
    <w:styleLink w:val="List 25"/>
    <w:lvl w:ilvl="0">
      <w:start w:val="0"/>
      <w:numFmt w:val="bullet"/>
      <w:suff w:val="tab"/>
      <w:lvlText w:val="•"/>
      <w:lvlJc w:val="left"/>
      <w:pPr>
        <w:tabs>
          <w:tab w:val="num" w:pos="142"/>
          <w:tab w:val="clear" w:pos="0"/>
        </w:tabs>
        <w:ind w:left="142" w:hanging="14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7">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8">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29">
    <w:multiLevelType w:val="multilevel"/>
    <w:styleLink w:val="List 22"/>
    <w:lvl w:ilvl="0">
      <w:start w:val="0"/>
      <w:numFmt w:val="bullet"/>
      <w:suff w:val="tab"/>
      <w:lvlText w:val="•"/>
      <w:lvlJc w:val="left"/>
      <w:pPr>
        <w:tabs>
          <w:tab w:val="num" w:pos="252"/>
          <w:tab w:val="clear" w:pos="0"/>
        </w:tabs>
        <w:ind w:left="252" w:hanging="25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0">
    <w:multiLevelType w:val="multilevel"/>
    <w:lvl w:ilvl="0">
      <w:start w:val="1"/>
      <w:numFmt w:val="bullet"/>
      <w:suff w:val="tab"/>
      <w:lvlText w:val="•"/>
      <w:lvlJc w:val="left"/>
      <w:pPr>
        <w:tabs>
          <w:tab w:val="num" w:pos="176"/>
          <w:tab w:val="clear" w:pos="0"/>
        </w:tabs>
        <w:ind w:left="176" w:hanging="176"/>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1">
    <w:multiLevelType w:val="multilevel"/>
    <w:styleLink w:val="List 26"/>
    <w:lvl w:ilvl="0">
      <w:start w:val="0"/>
      <w:numFmt w:val="bullet"/>
      <w:suff w:val="tab"/>
      <w:lvlText w:val="•"/>
      <w:lvlJc w:val="left"/>
      <w:pPr>
        <w:tabs>
          <w:tab w:val="num" w:pos="176"/>
          <w:tab w:val="clear" w:pos="0"/>
        </w:tabs>
        <w:ind w:left="176" w:hanging="176"/>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2">
    <w:multiLevelType w:val="multilevel"/>
    <w:lvl w:ilvl="0">
      <w:start w:val="1"/>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3">
    <w:multiLevelType w:val="multilevel"/>
    <w:styleLink w:val="List 27"/>
    <w:lvl w:ilvl="0">
      <w:start w:val="0"/>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4">
    <w:multiLevelType w:val="multilevel"/>
    <w:styleLink w:val="List 27"/>
    <w:lvl w:ilvl="0">
      <w:start w:val="0"/>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5">
    <w:multiLevelType w:val="multilevel"/>
    <w:styleLink w:val="List 27"/>
    <w:lvl w:ilvl="0">
      <w:start w:val="0"/>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6">
    <w:multiLevelType w:val="multilevel"/>
    <w:styleLink w:val="List 27"/>
    <w:lvl w:ilvl="0">
      <w:start w:val="0"/>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7">
    <w:multiLevelType w:val="multilevel"/>
    <w:styleLink w:val="List 27"/>
    <w:lvl w:ilvl="0">
      <w:start w:val="0"/>
      <w:numFmt w:val="bullet"/>
      <w:suff w:val="tab"/>
      <w:lvlText w:val="•"/>
      <w:lvlJc w:val="left"/>
      <w:pPr>
        <w:tabs>
          <w:tab w:val="num" w:pos="180"/>
          <w:tab w:val="clear" w:pos="0"/>
        </w:tabs>
        <w:ind w:left="180" w:hanging="18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8">
    <w:multiLevelType w:val="multilevel"/>
    <w:lvl w:ilvl="0">
      <w:start w:val="1"/>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39">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0">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1">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2">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3">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4">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5">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6">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7">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8">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9">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0">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1">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2">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3">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4">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5">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6">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7">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8">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59">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0">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1">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2">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3">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4">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5">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6">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7">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8">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9">
    <w:multiLevelType w:val="multilevel"/>
    <w:styleLink w:val="List 23"/>
    <w:lvl w:ilvl="0">
      <w:start w:val="1"/>
      <w:numFmt w:val="bullet"/>
      <w:suff w:val="tab"/>
      <w:lvlText w:val="•"/>
      <w:lvlJc w:val="left"/>
      <w:pPr>
        <w:tabs>
          <w:tab w:val="num" w:pos="1080"/>
          <w:tab w:val="clear" w:pos="0"/>
        </w:tabs>
        <w:ind w:left="10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1">
      <w:start w:val="0"/>
      <w:numFmt w:val="bullet"/>
      <w:suff w:val="tab"/>
      <w:lvlText w:val="○"/>
      <w:lvlJc w:val="left"/>
      <w:pPr>
        <w:tabs>
          <w:tab w:val="num" w:pos="612"/>
          <w:tab w:val="clear" w:pos="0"/>
        </w:tabs>
        <w:ind w:left="612" w:hanging="360"/>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70">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71">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72">
    <w:multiLevelType w:val="multilevel"/>
    <w:styleLink w:val="List 28"/>
    <w:lvl w:ilvl="0">
      <w:start w:val="0"/>
      <w:numFmt w:val="bullet"/>
      <w:suff w:val="tab"/>
      <w:lvlText w:val="•"/>
      <w:lvlJc w:val="left"/>
      <w:pPr>
        <w:tabs>
          <w:tab w:val="num" w:pos="162"/>
          <w:tab w:val="clear" w:pos="0"/>
        </w:tabs>
        <w:ind w:left="162" w:hanging="162"/>
      </w:pP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
      <w:lvlJc w:val="left"/>
      <w:pPr>
        <w:tabs>
          <w:tab w:val="num" w:pos="2520"/>
          <w:tab w:val="clear" w:pos="0"/>
        </w:tabs>
        <w:ind w:left="25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suff w:val="tab"/>
      <w:lvlText w:val="■"/>
      <w:lvlJc w:val="left"/>
      <w:pPr>
        <w:tabs>
          <w:tab w:val="num" w:pos="3960"/>
          <w:tab w:val="clear" w:pos="0"/>
        </w:tabs>
        <w:ind w:left="39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suff w:val="tab"/>
      <w:lvlText w:val="●"/>
      <w:lvlJc w:val="left"/>
      <w:pPr>
        <w:tabs>
          <w:tab w:val="num" w:pos="5400"/>
          <w:tab w:val="clear" w:pos="0"/>
        </w:tabs>
        <w:ind w:left="54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suff w:val="tab"/>
      <w:lvlText w:val="○"/>
      <w:lvlJc w:val="left"/>
      <w:pPr>
        <w:tabs>
          <w:tab w:val="num" w:pos="6840"/>
          <w:tab w:val="clear" w:pos="0"/>
        </w:tabs>
        <w:ind w:left="684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suff w:val="tab"/>
      <w:lvlText w:val="■"/>
      <w:lvlJc w:val="left"/>
      <w:pPr>
        <w:tabs>
          <w:tab w:val="num" w:pos="8280"/>
          <w:tab w:val="clear" w:pos="0"/>
        </w:tabs>
        <w:ind w:left="828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suff w:val="tab"/>
      <w:lvlText w:val="●"/>
      <w:lvlJc w:val="left"/>
      <w:pPr>
        <w:tabs>
          <w:tab w:val="num" w:pos="9720"/>
          <w:tab w:val="clear" w:pos="0"/>
        </w:tabs>
        <w:ind w:left="972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suff w:val="tab"/>
      <w:lvlText w:val="○"/>
      <w:lvlJc w:val="left"/>
      <w:pPr>
        <w:tabs>
          <w:tab w:val="num" w:pos="11160"/>
          <w:tab w:val="clear" w:pos="0"/>
        </w:tabs>
        <w:ind w:left="1116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suff w:val="tab"/>
      <w:lvlText w:val="■"/>
      <w:lvlJc w:val="left"/>
      <w:pPr>
        <w:tabs>
          <w:tab w:val="num" w:pos="12600"/>
          <w:tab w:val="clear" w:pos="0"/>
        </w:tabs>
        <w:ind w:left="12600"/>
      </w:pP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7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5">
    <w:multiLevelType w:val="multilevel"/>
    <w:styleLink w:val="List 29"/>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76">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7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78">
    <w:multiLevelType w:val="multilevel"/>
    <w:styleLink w:val="List 30"/>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79">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18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81">
    <w:multiLevelType w:val="multilevel"/>
    <w:styleLink w:val="List 31"/>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182">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8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84">
    <w:multiLevelType w:val="multilevel"/>
    <w:styleLink w:val="List 3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85">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86">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8">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89">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0">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1">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2">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3">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4">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5">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6">
    <w:multiLevelType w:val="multilevel"/>
    <w:styleLink w:val="List 3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7">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9">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0">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1">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2">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3">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4">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5">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6">
    <w:multiLevelType w:val="multilevel"/>
    <w:styleLink w:val="List 3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7">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0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9">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0">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1">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2">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3">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4">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5">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6">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7">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8">
    <w:multiLevelType w:val="multilevel"/>
    <w:styleLink w:val="List 35"/>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19">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2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1">
    <w:multiLevelType w:val="multilevel"/>
    <w:styleLink w:val="List 36"/>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22">
    <w:multiLevelType w:val="multilevel"/>
    <w:styleLink w:val="List 36"/>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23">
    <w:multiLevelType w:val="multilevel"/>
    <w:styleLink w:val="List 36"/>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224">
    <w:multiLevelType w:val="multilevel"/>
    <w:lvl w:ilvl="0">
      <w:start w:val="1"/>
      <w:numFmt w:val="bullet"/>
      <w:suff w:val="tab"/>
      <w:lvlText w:val="•"/>
      <w:lvlJc w:val="left"/>
      <w:pPr/>
      <w:rPr>
        <w:rFonts w:ascii="Calibri" w:cs="Calibri" w:hAnsi="Calibri" w:eastAsia="Calibri"/>
        <w:b w:val="1"/>
        <w:bCs w:val="1"/>
        <w:position w:val="0"/>
        <w:rtl w:val="0"/>
      </w:rPr>
    </w:lvl>
    <w:lvl w:ilvl="1">
      <w:start w:val="1"/>
      <w:numFmt w:val="decimal"/>
      <w:suff w:val="tab"/>
      <w:lvlText w:val="%1.%2."/>
      <w:lvlJc w:val="left"/>
      <w:pPr/>
      <w:rPr>
        <w:rFonts w:ascii="Calibri" w:cs="Calibri" w:hAnsi="Calibri" w:eastAsia="Calibri"/>
        <w:b w:val="1"/>
        <w:bCs w:val="1"/>
        <w:position w:val="0"/>
        <w:rtl w:val="0"/>
      </w:rPr>
    </w:lvl>
    <w:lvl w:ilvl="2">
      <w:start w:val="1"/>
      <w:numFmt w:val="decimal"/>
      <w:suff w:val="tab"/>
      <w:lvlText w:val="%1.%2.%3."/>
      <w:lvlJc w:val="left"/>
      <w:pPr/>
      <w:rPr>
        <w:rFonts w:ascii="Calibri" w:cs="Calibri" w:hAnsi="Calibri" w:eastAsia="Calibri"/>
        <w:b w:val="1"/>
        <w:bCs w:val="1"/>
        <w:position w:val="0"/>
        <w:rtl w:val="0"/>
      </w:rPr>
    </w:lvl>
    <w:lvl w:ilvl="3">
      <w:start w:val="1"/>
      <w:numFmt w:val="decimal"/>
      <w:suff w:val="tab"/>
      <w:lvlText w:val="%1.%2.%3.%4."/>
      <w:lvlJc w:val="left"/>
      <w:pPr/>
      <w:rPr>
        <w:rFonts w:ascii="Calibri" w:cs="Calibri" w:hAnsi="Calibri" w:eastAsia="Calibri"/>
        <w:b w:val="1"/>
        <w:bCs w:val="1"/>
        <w:position w:val="0"/>
        <w:rtl w:val="0"/>
      </w:rPr>
    </w:lvl>
    <w:lvl w:ilvl="4">
      <w:start w:val="1"/>
      <w:numFmt w:val="decimal"/>
      <w:suff w:val="tab"/>
      <w:lvlText w:val="%1.%2.%3.%4.%5."/>
      <w:lvlJc w:val="left"/>
      <w:pPr/>
      <w:rPr>
        <w:rFonts w:ascii="Calibri" w:cs="Calibri" w:hAnsi="Calibri" w:eastAsia="Calibri"/>
        <w:b w:val="1"/>
        <w:bCs w:val="1"/>
        <w:position w:val="0"/>
        <w:rtl w:val="0"/>
      </w:rPr>
    </w:lvl>
    <w:lvl w:ilvl="5">
      <w:start w:val="1"/>
      <w:numFmt w:val="decimal"/>
      <w:suff w:val="tab"/>
      <w:lvlText w:val="%1.%2.%3.%4.%5.%6."/>
      <w:lvlJc w:val="left"/>
      <w:pPr/>
      <w:rPr>
        <w:rFonts w:ascii="Calibri" w:cs="Calibri" w:hAnsi="Calibri" w:eastAsia="Calibri"/>
        <w:b w:val="1"/>
        <w:bCs w:val="1"/>
        <w:position w:val="0"/>
        <w:rtl w:val="0"/>
      </w:rPr>
    </w:lvl>
    <w:lvl w:ilvl="6">
      <w:start w:val="1"/>
      <w:numFmt w:val="decimal"/>
      <w:suff w:val="tab"/>
      <w:lvlText w:val="%1.%2.%3.%4.%5.%6.%7."/>
      <w:lvlJc w:val="left"/>
      <w:pPr/>
      <w:rPr>
        <w:rFonts w:ascii="Calibri" w:cs="Calibri" w:hAnsi="Calibri" w:eastAsia="Calibri"/>
        <w:b w:val="1"/>
        <w:bCs w:val="1"/>
        <w:position w:val="0"/>
        <w:rtl w:val="0"/>
      </w:rPr>
    </w:lvl>
    <w:lvl w:ilvl="7">
      <w:start w:val="1"/>
      <w:numFmt w:val="decimal"/>
      <w:suff w:val="tab"/>
      <w:lvlText w:val="%1.%2.%3.%4.%5.%6.%7.%8."/>
      <w:lvlJc w:val="left"/>
      <w:pPr/>
      <w:rPr>
        <w:rFonts w:ascii="Calibri" w:cs="Calibri" w:hAnsi="Calibri" w:eastAsia="Calibri"/>
        <w:b w:val="1"/>
        <w:bCs w:val="1"/>
        <w:position w:val="0"/>
        <w:rtl w:val="0"/>
      </w:rPr>
    </w:lvl>
    <w:lvl w:ilvl="8">
      <w:start w:val="1"/>
      <w:numFmt w:val="decimal"/>
      <w:suff w:val="tab"/>
      <w:lvlText w:val="%1.%2.%3.%4.%5.%6.%7.%8.%9."/>
      <w:lvlJc w:val="left"/>
      <w:pPr/>
      <w:rPr>
        <w:rFonts w:ascii="Calibri" w:cs="Calibri" w:hAnsi="Calibri" w:eastAsia="Calibri"/>
        <w:b w:val="1"/>
        <w:bCs w:val="1"/>
        <w:position w:val="0"/>
        <w:rtl w:val="0"/>
      </w:rPr>
    </w:lvl>
  </w:abstractNum>
  <w:abstractNum w:abstractNumId="225">
    <w:multiLevelType w:val="multilevel"/>
    <w:lvl w:ilvl="0">
      <w:start w:val="1"/>
      <w:numFmt w:val="bullet"/>
      <w:suff w:val="tab"/>
      <w:lvlText w:val="•"/>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26">
    <w:multiLevelType w:val="multilevel"/>
    <w:styleLink w:val="List 37"/>
    <w:lvl w:ilvl="0">
      <w:start w:val="0"/>
      <w:numFmt w:val="bullet"/>
      <w:suff w:val="tab"/>
      <w:lvlText w:val="•"/>
      <w:lvlJc w:val="left"/>
      <w:pPr/>
      <w:rPr>
        <w:rFonts w:ascii="Calibri" w:cs="Calibri" w:hAnsi="Calibri" w:eastAsia="Calibri"/>
        <w:b w:val="1"/>
        <w:bCs w:val="1"/>
        <w:position w:val="0"/>
        <w:rtl w:val="0"/>
      </w:rPr>
    </w:lvl>
    <w:lvl w:ilvl="1">
      <w:start w:val="1"/>
      <w:numFmt w:val="decimal"/>
      <w:suff w:val="tab"/>
      <w:lvlText w:val="%1.%2."/>
      <w:lvlJc w:val="left"/>
      <w:pPr/>
      <w:rPr>
        <w:rFonts w:ascii="Calibri" w:cs="Calibri" w:hAnsi="Calibri" w:eastAsia="Calibri"/>
        <w:b w:val="1"/>
        <w:bCs w:val="1"/>
        <w:position w:val="0"/>
        <w:rtl w:val="0"/>
      </w:rPr>
    </w:lvl>
    <w:lvl w:ilvl="2">
      <w:start w:val="1"/>
      <w:numFmt w:val="decimal"/>
      <w:suff w:val="tab"/>
      <w:lvlText w:val="%1.%2.%3."/>
      <w:lvlJc w:val="left"/>
      <w:pPr/>
      <w:rPr>
        <w:rFonts w:ascii="Calibri" w:cs="Calibri" w:hAnsi="Calibri" w:eastAsia="Calibri"/>
        <w:b w:val="1"/>
        <w:bCs w:val="1"/>
        <w:position w:val="0"/>
        <w:rtl w:val="0"/>
      </w:rPr>
    </w:lvl>
    <w:lvl w:ilvl="3">
      <w:start w:val="1"/>
      <w:numFmt w:val="decimal"/>
      <w:suff w:val="tab"/>
      <w:lvlText w:val="%1.%2.%3.%4."/>
      <w:lvlJc w:val="left"/>
      <w:pPr/>
      <w:rPr>
        <w:rFonts w:ascii="Calibri" w:cs="Calibri" w:hAnsi="Calibri" w:eastAsia="Calibri"/>
        <w:b w:val="1"/>
        <w:bCs w:val="1"/>
        <w:position w:val="0"/>
        <w:rtl w:val="0"/>
      </w:rPr>
    </w:lvl>
    <w:lvl w:ilvl="4">
      <w:start w:val="1"/>
      <w:numFmt w:val="decimal"/>
      <w:suff w:val="tab"/>
      <w:lvlText w:val="%1.%2.%3.%4.%5."/>
      <w:lvlJc w:val="left"/>
      <w:pPr/>
      <w:rPr>
        <w:rFonts w:ascii="Calibri" w:cs="Calibri" w:hAnsi="Calibri" w:eastAsia="Calibri"/>
        <w:b w:val="1"/>
        <w:bCs w:val="1"/>
        <w:position w:val="0"/>
        <w:rtl w:val="0"/>
      </w:rPr>
    </w:lvl>
    <w:lvl w:ilvl="5">
      <w:start w:val="1"/>
      <w:numFmt w:val="decimal"/>
      <w:suff w:val="tab"/>
      <w:lvlText w:val="%1.%2.%3.%4.%5.%6."/>
      <w:lvlJc w:val="left"/>
      <w:pPr/>
      <w:rPr>
        <w:rFonts w:ascii="Calibri" w:cs="Calibri" w:hAnsi="Calibri" w:eastAsia="Calibri"/>
        <w:b w:val="1"/>
        <w:bCs w:val="1"/>
        <w:position w:val="0"/>
        <w:rtl w:val="0"/>
      </w:rPr>
    </w:lvl>
    <w:lvl w:ilvl="6">
      <w:start w:val="1"/>
      <w:numFmt w:val="decimal"/>
      <w:suff w:val="tab"/>
      <w:lvlText w:val="%1.%2.%3.%4.%5.%6.%7."/>
      <w:lvlJc w:val="left"/>
      <w:pPr/>
      <w:rPr>
        <w:rFonts w:ascii="Calibri" w:cs="Calibri" w:hAnsi="Calibri" w:eastAsia="Calibri"/>
        <w:b w:val="1"/>
        <w:bCs w:val="1"/>
        <w:position w:val="0"/>
        <w:rtl w:val="0"/>
      </w:rPr>
    </w:lvl>
    <w:lvl w:ilvl="7">
      <w:start w:val="1"/>
      <w:numFmt w:val="decimal"/>
      <w:suff w:val="tab"/>
      <w:lvlText w:val="%1.%2.%3.%4.%5.%6.%7.%8."/>
      <w:lvlJc w:val="left"/>
      <w:pPr/>
      <w:rPr>
        <w:rFonts w:ascii="Calibri" w:cs="Calibri" w:hAnsi="Calibri" w:eastAsia="Calibri"/>
        <w:b w:val="1"/>
        <w:bCs w:val="1"/>
        <w:position w:val="0"/>
        <w:rtl w:val="0"/>
      </w:rPr>
    </w:lvl>
    <w:lvl w:ilvl="8">
      <w:start w:val="1"/>
      <w:numFmt w:val="decimal"/>
      <w:suff w:val="tab"/>
      <w:lvlText w:val="%1.%2.%3.%4.%5.%6.%7.%8.%9."/>
      <w:lvlJc w:val="left"/>
      <w:pPr/>
      <w:rPr>
        <w:rFonts w:ascii="Calibri" w:cs="Calibri" w:hAnsi="Calibri" w:eastAsia="Calibri"/>
        <w:b w:val="1"/>
        <w:bCs w:val="1"/>
        <w:position w:val="0"/>
        <w:rtl w:val="0"/>
      </w:rPr>
    </w:lvl>
  </w:abstractNum>
  <w:abstractNum w:abstractNumId="227">
    <w:multiLevelType w:val="multilevel"/>
    <w:styleLink w:val="List 37"/>
    <w:lvl w:ilvl="0">
      <w:start w:val="0"/>
      <w:numFmt w:val="bullet"/>
      <w:suff w:val="tab"/>
      <w:lvlText w:val="•"/>
      <w:lvlJc w:val="left"/>
      <w:pPr/>
      <w:rPr>
        <w:rFonts w:ascii="Calibri" w:cs="Calibri" w:hAnsi="Calibri" w:eastAsia="Calibri"/>
        <w:b w:val="1"/>
        <w:bCs w:val="1"/>
        <w:position w:val="0"/>
        <w:rtl w:val="0"/>
      </w:rPr>
    </w:lvl>
    <w:lvl w:ilvl="1">
      <w:start w:val="1"/>
      <w:numFmt w:val="decimal"/>
      <w:suff w:val="tab"/>
      <w:lvlText w:val="%1.%2."/>
      <w:lvlJc w:val="left"/>
      <w:pPr/>
      <w:rPr>
        <w:rFonts w:ascii="Calibri" w:cs="Calibri" w:hAnsi="Calibri" w:eastAsia="Calibri"/>
        <w:b w:val="1"/>
        <w:bCs w:val="1"/>
        <w:position w:val="0"/>
        <w:rtl w:val="0"/>
      </w:rPr>
    </w:lvl>
    <w:lvl w:ilvl="2">
      <w:start w:val="1"/>
      <w:numFmt w:val="decimal"/>
      <w:suff w:val="tab"/>
      <w:lvlText w:val="%1.%2.%3."/>
      <w:lvlJc w:val="left"/>
      <w:pPr/>
      <w:rPr>
        <w:rFonts w:ascii="Calibri" w:cs="Calibri" w:hAnsi="Calibri" w:eastAsia="Calibri"/>
        <w:b w:val="1"/>
        <w:bCs w:val="1"/>
        <w:position w:val="0"/>
        <w:rtl w:val="0"/>
      </w:rPr>
    </w:lvl>
    <w:lvl w:ilvl="3">
      <w:start w:val="1"/>
      <w:numFmt w:val="decimal"/>
      <w:suff w:val="tab"/>
      <w:lvlText w:val="%1.%2.%3.%4."/>
      <w:lvlJc w:val="left"/>
      <w:pPr/>
      <w:rPr>
        <w:rFonts w:ascii="Calibri" w:cs="Calibri" w:hAnsi="Calibri" w:eastAsia="Calibri"/>
        <w:b w:val="1"/>
        <w:bCs w:val="1"/>
        <w:position w:val="0"/>
        <w:rtl w:val="0"/>
      </w:rPr>
    </w:lvl>
    <w:lvl w:ilvl="4">
      <w:start w:val="1"/>
      <w:numFmt w:val="decimal"/>
      <w:suff w:val="tab"/>
      <w:lvlText w:val="%1.%2.%3.%4.%5."/>
      <w:lvlJc w:val="left"/>
      <w:pPr/>
      <w:rPr>
        <w:rFonts w:ascii="Calibri" w:cs="Calibri" w:hAnsi="Calibri" w:eastAsia="Calibri"/>
        <w:b w:val="1"/>
        <w:bCs w:val="1"/>
        <w:position w:val="0"/>
        <w:rtl w:val="0"/>
      </w:rPr>
    </w:lvl>
    <w:lvl w:ilvl="5">
      <w:start w:val="1"/>
      <w:numFmt w:val="decimal"/>
      <w:suff w:val="tab"/>
      <w:lvlText w:val="%1.%2.%3.%4.%5.%6."/>
      <w:lvlJc w:val="left"/>
      <w:pPr/>
      <w:rPr>
        <w:rFonts w:ascii="Calibri" w:cs="Calibri" w:hAnsi="Calibri" w:eastAsia="Calibri"/>
        <w:b w:val="1"/>
        <w:bCs w:val="1"/>
        <w:position w:val="0"/>
        <w:rtl w:val="0"/>
      </w:rPr>
    </w:lvl>
    <w:lvl w:ilvl="6">
      <w:start w:val="1"/>
      <w:numFmt w:val="decimal"/>
      <w:suff w:val="tab"/>
      <w:lvlText w:val="%1.%2.%3.%4.%5.%6.%7."/>
      <w:lvlJc w:val="left"/>
      <w:pPr/>
      <w:rPr>
        <w:rFonts w:ascii="Calibri" w:cs="Calibri" w:hAnsi="Calibri" w:eastAsia="Calibri"/>
        <w:b w:val="1"/>
        <w:bCs w:val="1"/>
        <w:position w:val="0"/>
        <w:rtl w:val="0"/>
      </w:rPr>
    </w:lvl>
    <w:lvl w:ilvl="7">
      <w:start w:val="1"/>
      <w:numFmt w:val="decimal"/>
      <w:suff w:val="tab"/>
      <w:lvlText w:val="%1.%2.%3.%4.%5.%6.%7.%8."/>
      <w:lvlJc w:val="left"/>
      <w:pPr/>
      <w:rPr>
        <w:rFonts w:ascii="Calibri" w:cs="Calibri" w:hAnsi="Calibri" w:eastAsia="Calibri"/>
        <w:b w:val="1"/>
        <w:bCs w:val="1"/>
        <w:position w:val="0"/>
        <w:rtl w:val="0"/>
      </w:rPr>
    </w:lvl>
    <w:lvl w:ilvl="8">
      <w:start w:val="1"/>
      <w:numFmt w:val="decimal"/>
      <w:suff w:val="tab"/>
      <w:lvlText w:val="%1.%2.%3.%4.%5.%6.%7.%8.%9."/>
      <w:lvlJc w:val="left"/>
      <w:pPr/>
      <w:rPr>
        <w:rFonts w:ascii="Calibri" w:cs="Calibri" w:hAnsi="Calibri" w:eastAsia="Calibri"/>
        <w:b w:val="1"/>
        <w:bCs w:val="1"/>
        <w:position w:val="0"/>
        <w:rtl w:val="0"/>
      </w:rPr>
    </w:lvl>
  </w:abstractNum>
  <w:abstractNum w:abstractNumId="228">
    <w:multiLevelType w:val="multilevel"/>
    <w:styleLink w:val="List 37"/>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29">
    <w:multiLevelType w:val="multilevel"/>
    <w:styleLink w:val="List 37"/>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0">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1">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2">
    <w:multiLevelType w:val="multilevel"/>
    <w:styleLink w:val="List 2"/>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3">
    <w:multiLevelType w:val="multilevel"/>
    <w:lvl w:ilvl="0">
      <w:start w:val="1"/>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4">
    <w:multiLevelType w:val="multilevel"/>
    <w:lvl w:ilvl="0">
      <w:start w:val="1"/>
      <w:numFmt w:val="bullet"/>
      <w:suff w:val="tab"/>
      <w:lvlText w:val="•"/>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35">
    <w:multiLevelType w:val="multilevel"/>
    <w:styleLink w:val="List 38"/>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6">
    <w:multiLevelType w:val="multilevel"/>
    <w:styleLink w:val="List 38"/>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7">
    <w:multiLevelType w:val="multilevel"/>
    <w:styleLink w:val="List 38"/>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8">
    <w:multiLevelType w:val="multilevel"/>
    <w:styleLink w:val="List 38"/>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39">
    <w:multiLevelType w:val="multilevel"/>
    <w:styleLink w:val="List 38"/>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0">
    <w:multiLevelType w:val="multilevel"/>
    <w:lvl w:ilvl="0">
      <w:start w:val="1"/>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1">
    <w:multiLevelType w:val="multilevel"/>
    <w:lvl w:ilvl="0">
      <w:start w:val="1"/>
      <w:numFmt w:val="bullet"/>
      <w:suff w:val="tab"/>
      <w:lvlText w:val="•"/>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42">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3">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4">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5">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6">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7">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8">
    <w:multiLevelType w:val="multilevel"/>
    <w:styleLink w:val="List 39"/>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49">
    <w:multiLevelType w:val="multilevel"/>
    <w:lvl w:ilvl="0">
      <w:start w:val="1"/>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0">
    <w:multiLevelType w:val="multilevel"/>
    <w:lvl w:ilvl="0">
      <w:start w:val="1"/>
      <w:numFmt w:val="bullet"/>
      <w:suff w:val="tab"/>
      <w:lvlText w:val="•"/>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51">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2">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3">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4">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5">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6">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7">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58">
    <w:multiLevelType w:val="multilevel"/>
    <w:styleLink w:val="List 40"/>
    <w:lvl w:ilvl="0">
      <w:start w:val="0"/>
      <w:numFmt w:val="bullet"/>
      <w:suff w:val="tab"/>
      <w:lvlText w:val="•"/>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76" w:lineRule="auto"/>
      <w:ind w:left="432" w:right="0" w:hanging="431"/>
      <w:jc w:val="left"/>
      <w:outlineLvl w:val="3"/>
    </w:pPr>
    <w:rPr>
      <w:rFonts w:ascii="Cambria"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2e74b5"/>
      <w:spacing w:val="0"/>
      <w:kern w:val="0"/>
      <w:position w:val="0"/>
      <w:sz w:val="32"/>
      <w:szCs w:val="32"/>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880"/>
        <w:tab w:val="right" w:pos="934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200" w:after="0" w:line="276" w:lineRule="auto"/>
      <w:ind w:left="576" w:right="0" w:hanging="575"/>
      <w:jc w:val="left"/>
      <w:outlineLvl w:val="1"/>
    </w:pPr>
    <w:rPr>
      <w:rFonts w:ascii="Cambria" w:cs="Cambria" w:hAnsi="Cambria" w:eastAsia="Cambria"/>
      <w:b w:val="1"/>
      <w:bCs w:val="1"/>
      <w:i w:val="0"/>
      <w:iCs w:val="0"/>
      <w:caps w:val="0"/>
      <w:smallCaps w:val="0"/>
      <w:strike w:val="0"/>
      <w:dstrike w:val="0"/>
      <w:outline w:val="0"/>
      <w:color w:val="4f81bd"/>
      <w:spacing w:val="0"/>
      <w:kern w:val="0"/>
      <w:position w:val="0"/>
      <w:sz w:val="26"/>
      <w:szCs w:val="26"/>
      <w:u w:val="none" w:color="000000"/>
      <w:vertAlign w:val="baseline"/>
    </w:rPr>
  </w:style>
  <w:style w:type="paragraph" w:styleId="TOC 3">
    <w:name w:val="TOC 3"/>
    <w:next w:val="TOC 3"/>
    <w:pPr>
      <w:keepNext w:val="0"/>
      <w:keepLines w:val="0"/>
      <w:pageBreakBefore w:val="0"/>
      <w:widowControl w:val="1"/>
      <w:shd w:val="clear" w:color="auto" w:fill="auto"/>
      <w:tabs>
        <w:tab w:val="left" w:pos="1320"/>
        <w:tab w:val="right" w:pos="9340" w:leader="dot"/>
      </w:tabs>
      <w:suppressAutoHyphens w:val="0"/>
      <w:bidi w:val="0"/>
      <w:spacing w:before="0" w:after="100" w:line="276"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200" w:after="0" w:line="276" w:lineRule="auto"/>
      <w:ind w:left="720" w:right="0" w:hanging="719"/>
      <w:jc w:val="left"/>
      <w:outlineLvl w:val="2"/>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000000"/>
      <w:vertAlign w:val="baseline"/>
    </w:rPr>
  </w:style>
  <w:style w:type="paragraph" w:styleId="TOC 4">
    <w:name w:val="TOC 4"/>
    <w:next w:val="TOC 4"/>
    <w:pPr>
      <w:keepNext w:val="0"/>
      <w:keepLines w:val="0"/>
      <w:pageBreakBefore w:val="0"/>
      <w:widowControl w:val="1"/>
      <w:shd w:val="clear" w:color="auto" w:fill="auto"/>
      <w:tabs>
        <w:tab w:val="left" w:pos="440"/>
        <w:tab w:val="right" w:pos="934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4"/>
      </w:numPr>
    </w:pPr>
  </w:style>
  <w:style w:type="numbering" w:styleId="List 2">
    <w:name w:val="List 2"/>
    <w:basedOn w:val="Imported Style 1"/>
    <w:next w:val="List 2"/>
    <w:pPr>
      <w:numPr>
        <w:numId w:val="8"/>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3">
    <w:name w:val="List 3"/>
    <w:basedOn w:val="Imported Style 2"/>
    <w:next w:val="List 3"/>
    <w:pPr>
      <w:numPr>
        <w:numId w:val="11"/>
      </w:numPr>
    </w:pPr>
  </w:style>
  <w:style w:type="numbering" w:styleId="Imported Style 2">
    <w:name w:val="Imported Style 2"/>
    <w:next w:val="Imported Style 2"/>
    <w:pPr>
      <w:numPr>
        <w:numId w:val="12"/>
      </w:numPr>
    </w:pPr>
  </w:style>
  <w:style w:type="numbering" w:styleId="List 4">
    <w:name w:val="List 4"/>
    <w:basedOn w:val="Imported Style 3"/>
    <w:next w:val="List 4"/>
    <w:pPr>
      <w:numPr>
        <w:numId w:val="14"/>
      </w:numPr>
    </w:pPr>
  </w:style>
  <w:style w:type="numbering" w:styleId="Imported Style 3">
    <w:name w:val="Imported Style 3"/>
    <w:next w:val="Imported Style 3"/>
    <w:pPr>
      <w:numPr>
        <w:numId w:val="15"/>
      </w:numPr>
    </w:pPr>
  </w:style>
  <w:style w:type="numbering" w:styleId="List 5">
    <w:name w:val="List 5"/>
    <w:basedOn w:val="Imported Style 4"/>
    <w:next w:val="List 5"/>
    <w:pPr>
      <w:numPr>
        <w:numId w:val="17"/>
      </w:numPr>
    </w:pPr>
  </w:style>
  <w:style w:type="numbering" w:styleId="Imported Style 4">
    <w:name w:val="Imported Style 4"/>
    <w:next w:val="Imported Style 4"/>
    <w:pPr>
      <w:numPr>
        <w:numId w:val="18"/>
      </w:numPr>
    </w:pPr>
  </w:style>
  <w:style w:type="numbering" w:styleId="List 6">
    <w:name w:val="List 6"/>
    <w:basedOn w:val="Imported Style 5"/>
    <w:next w:val="List 6"/>
    <w:pPr>
      <w:numPr>
        <w:numId w:val="23"/>
      </w:numPr>
    </w:pPr>
  </w:style>
  <w:style w:type="numbering" w:styleId="Imported Style 5">
    <w:name w:val="Imported Style 5"/>
    <w:next w:val="Imported Style 5"/>
    <w:pPr>
      <w:numPr>
        <w:numId w:val="24"/>
      </w:numPr>
    </w:pPr>
  </w:style>
  <w:style w:type="numbering" w:styleId="List 7">
    <w:name w:val="List 7"/>
    <w:basedOn w:val="Imported Style 5"/>
    <w:next w:val="List 7"/>
    <w:pPr>
      <w:numPr>
        <w:numId w:val="26"/>
      </w:numPr>
    </w:pPr>
  </w:style>
  <w:style w:type="numbering" w:styleId="List 8">
    <w:name w:val="List 8"/>
    <w:basedOn w:val="Imported Style 6"/>
    <w:next w:val="List 8"/>
    <w:pPr>
      <w:numPr>
        <w:numId w:val="30"/>
      </w:numPr>
    </w:pPr>
  </w:style>
  <w:style w:type="numbering" w:styleId="Imported Style 6">
    <w:name w:val="Imported Style 6"/>
    <w:next w:val="Imported Style 6"/>
    <w:pPr>
      <w:numPr>
        <w:numId w:val="31"/>
      </w:numPr>
    </w:pPr>
  </w:style>
  <w:style w:type="numbering" w:styleId="List 9">
    <w:name w:val="List 9"/>
    <w:basedOn w:val="Imported Style 7"/>
    <w:next w:val="List 9"/>
    <w:pPr>
      <w:numPr>
        <w:numId w:val="33"/>
      </w:numPr>
    </w:pPr>
  </w:style>
  <w:style w:type="numbering" w:styleId="Imported Style 7">
    <w:name w:val="Imported Style 7"/>
    <w:next w:val="Imported Style 7"/>
    <w:pPr>
      <w:numPr>
        <w:numId w:val="34"/>
      </w:numPr>
    </w:pPr>
  </w:style>
  <w:style w:type="numbering" w:styleId="List 10">
    <w:name w:val="List 10"/>
    <w:basedOn w:val="Imported Style 8"/>
    <w:next w:val="List 10"/>
    <w:pPr>
      <w:numPr>
        <w:numId w:val="36"/>
      </w:numPr>
    </w:pPr>
  </w:style>
  <w:style w:type="numbering" w:styleId="Imported Style 8">
    <w:name w:val="Imported Style 8"/>
    <w:next w:val="Imported Style 8"/>
    <w:pPr>
      <w:numPr>
        <w:numId w:val="37"/>
      </w:numPr>
    </w:pPr>
  </w:style>
  <w:style w:type="numbering" w:styleId="List 11">
    <w:name w:val="List 11"/>
    <w:basedOn w:val="Imported Style 9"/>
    <w:next w:val="List 11"/>
    <w:pPr>
      <w:numPr>
        <w:numId w:val="39"/>
      </w:numPr>
    </w:pPr>
  </w:style>
  <w:style w:type="numbering" w:styleId="Imported Style 9">
    <w:name w:val="Imported Style 9"/>
    <w:next w:val="Imported Style 9"/>
    <w:pPr>
      <w:numPr>
        <w:numId w:val="40"/>
      </w:numPr>
    </w:pPr>
  </w:style>
  <w:style w:type="numbering" w:styleId="List 12">
    <w:name w:val="List 12"/>
    <w:basedOn w:val="Imported Style 10"/>
    <w:next w:val="List 12"/>
    <w:pPr>
      <w:numPr>
        <w:numId w:val="42"/>
      </w:numPr>
    </w:pPr>
  </w:style>
  <w:style w:type="numbering" w:styleId="Imported Style 10">
    <w:name w:val="Imported Style 10"/>
    <w:next w:val="Imported Style 10"/>
    <w:pPr>
      <w:numPr>
        <w:numId w:val="43"/>
      </w:numPr>
    </w:pPr>
  </w:style>
  <w:style w:type="numbering" w:styleId="List 13">
    <w:name w:val="List 13"/>
    <w:basedOn w:val="Imported Style 11"/>
    <w:next w:val="List 13"/>
    <w:pPr>
      <w:numPr>
        <w:numId w:val="45"/>
      </w:numPr>
    </w:pPr>
  </w:style>
  <w:style w:type="numbering" w:styleId="Imported Style 11">
    <w:name w:val="Imported Style 11"/>
    <w:next w:val="Imported Style 11"/>
    <w:pPr>
      <w:numPr>
        <w:numId w:val="46"/>
      </w:numPr>
    </w:pPr>
  </w:style>
  <w:style w:type="numbering" w:styleId="List 14">
    <w:name w:val="List 14"/>
    <w:basedOn w:val="Imported Style 11"/>
    <w:next w:val="List 14"/>
    <w:pPr>
      <w:numPr>
        <w:numId w:val="48"/>
      </w:numPr>
    </w:pPr>
  </w:style>
  <w:style w:type="numbering" w:styleId="List 15">
    <w:name w:val="List 15"/>
    <w:basedOn w:val="Imported Style 11"/>
    <w:next w:val="List 15"/>
    <w:pPr>
      <w:numPr>
        <w:numId w:val="50"/>
      </w:numPr>
    </w:pPr>
  </w:style>
  <w:style w:type="numbering" w:styleId="List 16">
    <w:name w:val="List 16"/>
    <w:basedOn w:val="Imported Style 11"/>
    <w:next w:val="List 16"/>
    <w:pPr>
      <w:numPr>
        <w:numId w:val="65"/>
      </w:numPr>
    </w:pPr>
  </w:style>
  <w:style w:type="numbering" w:styleId="List 17">
    <w:name w:val="List 17"/>
    <w:basedOn w:val="Imported Style 12"/>
    <w:next w:val="List 17"/>
    <w:pPr>
      <w:numPr>
        <w:numId w:val="67"/>
      </w:numPr>
    </w:pPr>
  </w:style>
  <w:style w:type="numbering" w:styleId="Imported Style 12">
    <w:name w:val="Imported Style 12"/>
    <w:next w:val="Imported Style 12"/>
    <w:pPr>
      <w:numPr>
        <w:numId w:val="68"/>
      </w:numPr>
    </w:pPr>
  </w:style>
  <w:style w:type="numbering" w:styleId="List 18">
    <w:name w:val="List 18"/>
    <w:basedOn w:val="Imported Style 12"/>
    <w:next w:val="List 18"/>
    <w:pPr>
      <w:numPr>
        <w:numId w:val="70"/>
      </w:numPr>
    </w:pPr>
  </w:style>
  <w:style w:type="numbering" w:styleId="List 19">
    <w:name w:val="List 19"/>
    <w:basedOn w:val="Imported Style 12"/>
    <w:next w:val="List 19"/>
    <w:pPr>
      <w:numPr>
        <w:numId w:val="72"/>
      </w:numPr>
    </w:pPr>
  </w:style>
  <w:style w:type="numbering" w:styleId="List 20">
    <w:name w:val="List 20"/>
    <w:basedOn w:val="Imported Style 13"/>
    <w:next w:val="List 20"/>
    <w:pPr>
      <w:numPr>
        <w:numId w:val="78"/>
      </w:numPr>
    </w:pPr>
  </w:style>
  <w:style w:type="numbering" w:styleId="Imported Style 13">
    <w:name w:val="Imported Style 13"/>
    <w:next w:val="Imported Style 13"/>
    <w:pPr>
      <w:numPr>
        <w:numId w:val="79"/>
      </w:numPr>
    </w:pPr>
  </w:style>
  <w:style w:type="numbering" w:styleId="List 21">
    <w:name w:val="List 21"/>
    <w:basedOn w:val="Imported Style 13"/>
    <w:next w:val="List 21"/>
    <w:pPr>
      <w:numPr>
        <w:numId w:val="81"/>
      </w:numPr>
    </w:pPr>
  </w:style>
  <w:style w:type="numbering" w:styleId="List 22">
    <w:name w:val="List 22"/>
    <w:basedOn w:val="Imported Style 12"/>
    <w:next w:val="List 22"/>
    <w:pPr>
      <w:numPr>
        <w:numId w:val="100"/>
      </w:numPr>
    </w:pPr>
  </w:style>
  <w:style w:type="numbering" w:styleId="List 23">
    <w:name w:val="List 23"/>
    <w:basedOn w:val="Imported Style 12"/>
    <w:next w:val="List 23"/>
    <w:pPr>
      <w:numPr>
        <w:numId w:val="102"/>
      </w:numPr>
    </w:pPr>
  </w:style>
  <w:style w:type="numbering" w:styleId="List 24">
    <w:name w:val="List 24"/>
    <w:basedOn w:val="Imported Style 12"/>
    <w:next w:val="List 24"/>
    <w:pPr>
      <w:numPr>
        <w:numId w:val="106"/>
      </w:numPr>
    </w:pPr>
  </w:style>
  <w:style w:type="numbering" w:styleId="List 25">
    <w:name w:val="List 25"/>
    <w:basedOn w:val="Imported Style 12"/>
    <w:next w:val="List 25"/>
    <w:pPr>
      <w:numPr>
        <w:numId w:val="117"/>
      </w:numPr>
    </w:pPr>
  </w:style>
  <w:style w:type="numbering" w:styleId="List 26">
    <w:name w:val="List 26"/>
    <w:basedOn w:val="Imported Style 12"/>
    <w:next w:val="List 26"/>
    <w:pPr>
      <w:numPr>
        <w:numId w:val="131"/>
      </w:numPr>
    </w:pPr>
  </w:style>
  <w:style w:type="numbering" w:styleId="List 27">
    <w:name w:val="List 27"/>
    <w:basedOn w:val="Imported Style 12"/>
    <w:next w:val="List 27"/>
    <w:pPr>
      <w:numPr>
        <w:numId w:val="133"/>
      </w:numPr>
    </w:pPr>
  </w:style>
  <w:style w:type="numbering" w:styleId="List 28">
    <w:name w:val="List 28"/>
    <w:basedOn w:val="Imported Style 12"/>
    <w:next w:val="List 28"/>
    <w:pPr>
      <w:numPr>
        <w:numId w:val="139"/>
      </w:numPr>
    </w:pPr>
  </w:style>
  <w:style w:type="numbering" w:styleId="List 29">
    <w:name w:val="List 29"/>
    <w:basedOn w:val="Imported Style 14"/>
    <w:next w:val="List 29"/>
    <w:pPr>
      <w:numPr>
        <w:numId w:val="174"/>
      </w:numPr>
    </w:pPr>
  </w:style>
  <w:style w:type="numbering" w:styleId="Imported Style 14">
    <w:name w:val="Imported Style 14"/>
    <w:next w:val="Imported Style 14"/>
    <w:pPr>
      <w:numPr>
        <w:numId w:val="175"/>
      </w:numPr>
    </w:pPr>
  </w:style>
  <w:style w:type="numbering" w:styleId="List 30">
    <w:name w:val="List 30"/>
    <w:basedOn w:val="Imported Style 15"/>
    <w:next w:val="List 30"/>
    <w:pPr>
      <w:numPr>
        <w:numId w:val="177"/>
      </w:numPr>
    </w:pPr>
  </w:style>
  <w:style w:type="numbering" w:styleId="Imported Style 15">
    <w:name w:val="Imported Style 15"/>
    <w:next w:val="Imported Style 15"/>
    <w:pPr>
      <w:numPr>
        <w:numId w:val="178"/>
      </w:numPr>
    </w:pPr>
  </w:style>
  <w:style w:type="numbering" w:styleId="List 31">
    <w:name w:val="List 31"/>
    <w:basedOn w:val="Imported Style 16"/>
    <w:next w:val="List 31"/>
    <w:pPr>
      <w:numPr>
        <w:numId w:val="180"/>
      </w:numPr>
    </w:pPr>
  </w:style>
  <w:style w:type="numbering" w:styleId="Imported Style 16">
    <w:name w:val="Imported Style 16"/>
    <w:next w:val="Imported Style 16"/>
    <w:pPr>
      <w:numPr>
        <w:numId w:val="181"/>
      </w:numPr>
    </w:pPr>
  </w:style>
  <w:style w:type="numbering" w:styleId="List 32">
    <w:name w:val="List 32"/>
    <w:basedOn w:val="Imported Style 17"/>
    <w:next w:val="List 32"/>
    <w:pPr>
      <w:numPr>
        <w:numId w:val="183"/>
      </w:numPr>
    </w:pPr>
  </w:style>
  <w:style w:type="numbering" w:styleId="Imported Style 17">
    <w:name w:val="Imported Style 17"/>
    <w:next w:val="Imported Style 17"/>
    <w:pPr>
      <w:numPr>
        <w:numId w:val="184"/>
      </w:numPr>
    </w:pPr>
  </w:style>
  <w:style w:type="numbering" w:styleId="List 33">
    <w:name w:val="List 33"/>
    <w:basedOn w:val="Imported Style 18"/>
    <w:next w:val="List 33"/>
    <w:pPr>
      <w:numPr>
        <w:numId w:val="187"/>
      </w:numPr>
    </w:pPr>
  </w:style>
  <w:style w:type="numbering" w:styleId="Imported Style 18">
    <w:name w:val="Imported Style 18"/>
    <w:next w:val="Imported Style 18"/>
    <w:pPr>
      <w:numPr>
        <w:numId w:val="188"/>
      </w:numPr>
    </w:pPr>
  </w:style>
  <w:style w:type="numbering" w:styleId="List 34">
    <w:name w:val="List 34"/>
    <w:basedOn w:val="Imported Style 19"/>
    <w:next w:val="List 34"/>
    <w:pPr>
      <w:numPr>
        <w:numId w:val="198"/>
      </w:numPr>
    </w:pPr>
  </w:style>
  <w:style w:type="numbering" w:styleId="Imported Style 19">
    <w:name w:val="Imported Style 19"/>
    <w:next w:val="Imported Style 19"/>
    <w:pPr>
      <w:numPr>
        <w:numId w:val="199"/>
      </w:numPr>
    </w:pPr>
  </w:style>
  <w:style w:type="numbering" w:styleId="List 35">
    <w:name w:val="List 35"/>
    <w:basedOn w:val="Imported Style 20"/>
    <w:next w:val="List 35"/>
    <w:pPr>
      <w:numPr>
        <w:numId w:val="208"/>
      </w:numPr>
    </w:pPr>
  </w:style>
  <w:style w:type="numbering" w:styleId="Imported Style 20">
    <w:name w:val="Imported Style 20"/>
    <w:next w:val="Imported Style 20"/>
    <w:pPr>
      <w:numPr>
        <w:numId w:val="209"/>
      </w:numPr>
    </w:pPr>
  </w:style>
  <w:style w:type="numbering" w:styleId="List 36">
    <w:name w:val="List 36"/>
    <w:basedOn w:val="Imported Style 21"/>
    <w:next w:val="List 36"/>
    <w:pPr>
      <w:numPr>
        <w:numId w:val="220"/>
      </w:numPr>
    </w:pPr>
  </w:style>
  <w:style w:type="numbering" w:styleId="Imported Style 21">
    <w:name w:val="Imported Style 21"/>
    <w:next w:val="Imported Style 21"/>
    <w:pPr>
      <w:numPr>
        <w:numId w:val="221"/>
      </w:numPr>
    </w:pPr>
  </w:style>
  <w:style w:type="numbering" w:styleId="List 37">
    <w:name w:val="List 37"/>
    <w:basedOn w:val="Imported Style 22"/>
    <w:next w:val="List 37"/>
    <w:pPr>
      <w:numPr>
        <w:numId w:val="225"/>
      </w:numPr>
    </w:pPr>
  </w:style>
  <w:style w:type="numbering" w:styleId="Imported Style 22">
    <w:name w:val="Imported Style 22"/>
    <w:next w:val="Imported Style 22"/>
    <w:pPr>
      <w:numPr>
        <w:numId w:val="226"/>
      </w:numPr>
    </w:pPr>
  </w:style>
  <w:style w:type="numbering" w:styleId="List 38">
    <w:name w:val="List 38"/>
    <w:basedOn w:val="Imported Style 23"/>
    <w:next w:val="List 38"/>
    <w:pPr>
      <w:numPr>
        <w:numId w:val="234"/>
      </w:numPr>
    </w:pPr>
  </w:style>
  <w:style w:type="numbering" w:styleId="Imported Style 23">
    <w:name w:val="Imported Style 23"/>
    <w:next w:val="Imported Style 23"/>
    <w:pPr>
      <w:numPr>
        <w:numId w:val="235"/>
      </w:numPr>
    </w:pPr>
  </w:style>
  <w:style w:type="numbering" w:styleId="List 39">
    <w:name w:val="List 39"/>
    <w:basedOn w:val="Imported Style 24"/>
    <w:next w:val="List 39"/>
    <w:pPr>
      <w:numPr>
        <w:numId w:val="241"/>
      </w:numPr>
    </w:pPr>
  </w:style>
  <w:style w:type="numbering" w:styleId="Imported Style 24">
    <w:name w:val="Imported Style 24"/>
    <w:next w:val="Imported Style 24"/>
    <w:pPr>
      <w:numPr>
        <w:numId w:val="242"/>
      </w:numPr>
    </w:pPr>
  </w:style>
  <w:style w:type="numbering" w:styleId="List 40">
    <w:name w:val="List 40"/>
    <w:basedOn w:val="Imported Style 25"/>
    <w:next w:val="List 40"/>
    <w:pPr>
      <w:numPr>
        <w:numId w:val="250"/>
      </w:numPr>
    </w:pPr>
  </w:style>
  <w:style w:type="numbering" w:styleId="Imported Style 25">
    <w:name w:val="Imported Style 25"/>
    <w:next w:val="Imported Style 25"/>
    <w:pPr>
      <w:numPr>
        <w:numId w:val="251"/>
      </w:numPr>
    </w:pPr>
  </w:style>
  <w:style w:type="character" w:styleId="None">
    <w:name w:val="None"/>
  </w:style>
  <w:style w:type="character" w:styleId="Hyperlink.0">
    <w:name w:val="Hyperlink.0"/>
    <w:basedOn w:val="None"/>
    <w:next w:val="Hyperlink.0"/>
    <w:rPr>
      <w:color w:val="5797b0"/>
      <w:u w:val="single" w:color="00000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tif"/><Relationship Id="rId7" Type="http://schemas.openxmlformats.org/officeDocument/2006/relationships/hyperlink" Target="http://www.endeavourvolunteer.ca/"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